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3"/>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S5-26</w:t>
      </w:r>
      <w:r>
        <w:rPr>
          <w:rFonts w:hint="eastAsia"/>
          <w:b/>
          <w:i/>
          <w:sz w:val="28"/>
          <w:lang w:val="en-US" w:eastAsia="zh-CN"/>
        </w:rPr>
        <w:t>0141</w:t>
      </w:r>
    </w:p>
    <w:p w14:paraId="64C91465">
      <w:pPr>
        <w:pStyle w:val="35"/>
        <w:rPr>
          <w:sz w:val="22"/>
          <w:szCs w:val="22"/>
        </w:rPr>
      </w:pPr>
      <w:r>
        <w:rPr>
          <w:sz w:val="24"/>
        </w:rPr>
        <w:t>Goa, India, 09 - 13 February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ascii="Arial" w:hAnsi="Arial" w:cs="Arial"/>
          <w:b/>
          <w:bCs/>
          <w:lang w:val="en-US"/>
        </w:rPr>
        <w:t>, ZTE Corporation</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TR 32.801-01 Add</w:t>
      </w:r>
      <w:r>
        <w:rPr>
          <w:rFonts w:hint="default" w:ascii="Arial" w:hAnsi="Arial" w:cs="Arial"/>
          <w:b/>
          <w:bCs/>
          <w:lang w:val="en-US" w:eastAsia="zh-CN"/>
        </w:rPr>
        <w:t xml:space="preserve"> </w:t>
      </w:r>
      <w:r>
        <w:rPr>
          <w:rFonts w:hint="eastAsia" w:ascii="Arial" w:hAnsi="Arial" w:cs="Arial"/>
          <w:b/>
          <w:bCs/>
          <w:lang w:val="en-US"/>
        </w:rPr>
        <w:t>Network  Digital Twin  Scenarios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bookmarkStart w:id="11" w:name="_GoBack"/>
      <w:bookmarkEnd w:id="11"/>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41D7AC78">
      <w:pPr>
        <w:rPr>
          <w:lang w:val="en-US"/>
        </w:rPr>
      </w:pPr>
      <w:r>
        <w:rPr>
          <w:lang w:val="en-US"/>
        </w:rPr>
        <w:t>This contribution proposes to add structure for TR 32.801-01 based on SP-251653</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C85F97">
      <w:pPr>
        <w:pStyle w:val="2"/>
      </w:pPr>
      <w:r>
        <w:t>6</w:t>
      </w:r>
      <w:r>
        <w:tab/>
      </w:r>
      <w:r>
        <w:t>6G Management Scenarios</w:t>
      </w:r>
    </w:p>
    <w:p w14:paraId="6579B6AF">
      <w:pPr>
        <w:pStyle w:val="3"/>
        <w:rPr>
          <w:lang w:eastAsia="zh-CN"/>
        </w:rPr>
      </w:pPr>
      <w:r>
        <w:rPr>
          <w:lang w:eastAsia="zh-CN"/>
        </w:rPr>
        <w:t>6.</w:t>
      </w:r>
      <w:r>
        <w:rPr>
          <w:rFonts w:hint="eastAsia"/>
          <w:lang w:val="en-US" w:eastAsia="zh-CN"/>
        </w:rPr>
        <w:t>x</w:t>
      </w:r>
      <w:r>
        <w:rPr>
          <w:lang w:eastAsia="zh-CN"/>
        </w:rPr>
        <w:t xml:space="preserve"> Enhanced and new management scenarios for 6G</w:t>
      </w:r>
    </w:p>
    <w:p w14:paraId="213EF54E">
      <w:pPr>
        <w:rPr>
          <w:i/>
        </w:rPr>
      </w:pPr>
      <w:r>
        <w:rPr>
          <w:i/>
        </w:rPr>
        <w:t>Editor's note 1: This clause will contain new 6G management scenarios and the corresponding requirements.</w:t>
      </w:r>
    </w:p>
    <w:p w14:paraId="23ED34B2">
      <w:pPr>
        <w:pStyle w:val="4"/>
        <w:rPr>
          <w:lang w:eastAsia="zh-CN"/>
        </w:rPr>
      </w:pPr>
      <w:r>
        <w:rPr>
          <w:lang w:eastAsia="zh-CN"/>
        </w:rPr>
        <w:t>6.</w:t>
      </w:r>
      <w:r>
        <w:rPr>
          <w:rFonts w:hint="eastAsia"/>
          <w:lang w:val="en-US" w:eastAsia="zh-CN"/>
        </w:rPr>
        <w:t>x</w:t>
      </w:r>
      <w:r>
        <w:rPr>
          <w:lang w:eastAsia="zh-CN"/>
        </w:rPr>
        <w:t>.</w:t>
      </w:r>
      <w:r>
        <w:rPr>
          <w:rFonts w:hint="eastAsia"/>
          <w:lang w:val="en-US" w:eastAsia="zh-CN"/>
        </w:rPr>
        <w:t>y</w:t>
      </w:r>
      <w:r>
        <w:rPr>
          <w:lang w:eastAsia="zh-CN"/>
        </w:rPr>
        <w:t xml:space="preserve"> &lt;</w:t>
      </w:r>
      <w:r>
        <w:rPr>
          <w:rFonts w:hint="eastAsia"/>
        </w:rPr>
        <w:t xml:space="preserve">Network </w:t>
      </w:r>
      <w:r>
        <w:rPr>
          <w:rFonts w:hint="eastAsia"/>
          <w:lang w:val="en-US" w:eastAsia="zh-CN"/>
        </w:rPr>
        <w:t xml:space="preserve"> </w:t>
      </w:r>
      <w:r>
        <w:rPr>
          <w:rFonts w:hint="eastAsia"/>
        </w:rPr>
        <w:t xml:space="preserve"> Digital Twin  Scenarios</w:t>
      </w:r>
      <w:r>
        <w:rPr>
          <w:lang w:eastAsia="zh-CN"/>
        </w:rPr>
        <w:t>#</w:t>
      </w:r>
      <w:r>
        <w:rPr>
          <w:rFonts w:hint="eastAsia"/>
          <w:lang w:val="en-US" w:eastAsia="zh-CN"/>
        </w:rPr>
        <w:t>1</w:t>
      </w:r>
      <w:r>
        <w:rPr>
          <w:lang w:eastAsia="zh-CN"/>
        </w:rPr>
        <w:t>&gt;</w:t>
      </w:r>
    </w:p>
    <w:p w14:paraId="4B042682">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 xml:space="preserve">.1 Management Scenario #&lt;1&gt;: </w:t>
      </w:r>
      <w:r>
        <w:rPr>
          <w:rFonts w:ascii="Arial" w:hAnsi="Arial"/>
          <w:sz w:val="28"/>
          <w:lang w:eastAsia="zh-CN"/>
        </w:rPr>
        <w:t>&lt;</w:t>
      </w:r>
      <w:r>
        <w:rPr>
          <w:rFonts w:hint="default"/>
          <w:sz w:val="28"/>
          <w:lang w:eastAsia="zh-CN"/>
        </w:rPr>
        <w:t>Network Topology Planning</w:t>
      </w:r>
      <w:r>
        <w:rPr>
          <w:rFonts w:hint="eastAsia"/>
          <w:sz w:val="28"/>
          <w:lang w:val="en-US" w:eastAsia="zh-CN"/>
        </w:rPr>
        <w:t xml:space="preserve"> </w:t>
      </w:r>
      <w:r>
        <w:rPr>
          <w:rFonts w:ascii="Arial" w:hAnsi="Arial"/>
          <w:sz w:val="28"/>
          <w:lang w:eastAsia="zh-CN"/>
        </w:rPr>
        <w:t>&gt;</w:t>
      </w:r>
    </w:p>
    <w:p w14:paraId="07D8BE49">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.1 Description</w:t>
      </w:r>
    </w:p>
    <w:p w14:paraId="7A80C6E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This scenario constructs a full-dimensional virtual mapping of network topology based on digital twin technology, enabling digital replication, dynamic synchronization, and visual planning from physical networks to logical topologies. By integrating physical resources (base stations, routers, switches, optical cables, computer rooms) and logical resources (network slices, virtual network elements, routing protocols) information at various levels of the network (core network, transmission network, access network, edge network), a high-fidelity topological twin model is constructed, supporting real-time rendering, historical backtracking, and future deduction of the topological structure.</w:t>
      </w:r>
    </w:p>
    <w:p w14:paraId="475AF25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core of the scenario focuses on the planning, design, dynamic adjustment, and optimization iteration of network topology, covering core business scenarios such as new network topology planning, existing network topology expansion and upgrade, cross-domain topology interconnection and adaptation, and post-failure topology reconstruction. Taking 5G/6G all-optical network topology planning as an example, the business process is as follows:</w:t>
      </w:r>
    </w:p>
    <w:p w14:paraId="5B1FF9A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1. The data collection layer collects data such as physical location, port configuration, link bandwidth, topological connection relationships, and protocol operating status of network elements from various vendors through standardized interfaces (such as SNMP, NETCONF/YANG, and RESTful API). This data, combined with geographic spatial information supplemented by the GIS system, forms a complete topological data source.</w:t>
      </w:r>
    </w:p>
    <w:p w14:paraId="09FF043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2. The twinning modeling engine cleans, integrates, and structures the collected data to construct a twinning model that maps both physical and logical topologies. It supports visual configuration and attribute editing for topological elements such as network elements, links, and subnets, and also correlates network performance data (such as link latency and packet loss rate) to achieve a linked display of topology and performance.</w:t>
      </w:r>
    </w:p>
    <w:p w14:paraId="4FE212B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3. The planning and design module, based on business requirements (such as user capacity growth, new business deployment, and coverage expansion), provides automatic topology planning algorithms and manual adjustment tools. It simulates the feasibility of different topology schemes (such as star, ring, and mesh topologies) and outputs topology planning schemes and resource configuration checklists.</w:t>
      </w:r>
    </w:p>
    <w:p w14:paraId="61405FA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4. The simulation verification module conducts performance simulations on the planning scheme, analyzes the impact of the topological structure on network latency, bandwidth utilization, disaster tolerance, and scalability, identifies potential bottlenecks (such as insufficient link bandwidth, excessive network element load, and single point of failure risk), and optimizes the scheme.</w:t>
      </w:r>
    </w:p>
    <w:p w14:paraId="43544AB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After the scheme is confirmed, the orchestrator issues topology planning configuration instructions to the actual network devices through a standardized interface, completing operations such as network element deployment, link configuration, and routing debugging. At the same time, the twin topology model is updated synchronously, achieving the automated implementation of the planning scheme.</w:t>
      </w:r>
    </w:p>
    <w:p w14:paraId="4DD6B91A">
      <w:pPr>
        <w:ind w:firstLine="420" w:firstLineChars="200"/>
        <w:jc w:val="both"/>
        <w:rPr>
          <w:rFonts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5. The operation and maintenance monitoring module synchronizes real-time changes in the actual network topology (such as the addition/removal of network elements and the interruption/restoration of links), dynamically updates the digital twin model, and forms a closed-loop management of "planning-simulation-deployment-monitoring-optimization", supporting the full lifecycle management and control of the topology.</w:t>
      </w:r>
    </w:p>
    <w:p w14:paraId="2529BCA1">
      <w:pPr>
        <w:ind w:firstLine="420" w:firstLineChars="200"/>
        <w:rPr>
          <w:rFonts w:ascii="Segoe UI" w:hAnsi="Segoe UI" w:eastAsia="Segoe UI" w:cs="Segoe UI"/>
          <w:color w:val="0F1115"/>
          <w:sz w:val="21"/>
          <w:szCs w:val="21"/>
          <w:shd w:val="clear" w:fill="FFFFFF"/>
          <w:lang w:eastAsia="zh-CN"/>
        </w:rPr>
      </w:pPr>
    </w:p>
    <w:p w14:paraId="6FAEF910">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.2 Potential Requirements</w:t>
      </w:r>
    </w:p>
    <w:p w14:paraId="28FF81E7">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72A446C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[Biz-Req-1] The 3GPP management system should support real-time collection and aggregation of network topology data across multiple vendors and domains, in order to construct and synchronize a high-fidelity digital twin model of the network.</w:t>
      </w:r>
    </w:p>
    <w:p w14:paraId="41CC5D2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[Biz-Req-2] The 3GPP management system should provide topology planning capabilities integrated with visualization tools, supporting automatic planning and manual adjustment based on business objectives and constraints.</w:t>
      </w:r>
    </w:p>
    <w:p w14:paraId="2111861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[Biz-Req-3] The 3GPP management system should conduct performance and reliability simulations for candidate topology schemes, assess their impact on latency, bandwidth, and disaster tolerance capabilities, and identify bottlenecks.</w:t>
      </w:r>
    </w:p>
    <w:p w14:paraId="70727B6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[Biz-Req-4] The 3GPP management system should achieve a closed-loop management throughout the entire lifecycle, encompassing topology planning, simulation verification, automatic deployment, and real-time monitoring and optimization.</w:t>
      </w:r>
    </w:p>
    <w:p w14:paraId="6F5E7D31">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0AF74E81">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001CF8A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Multi-source, Heterogeneous Data Acquisition and Unified Twin Modeling</w:t>
      </w:r>
    </w:p>
    <w:p w14:paraId="0874F81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precise virtual mapping of physical networks, the management system needs to address how to collect multi-dimensional data in real-time and accurately from heterogeneous devices and across domain hierarchies, and then clean and fuse it into a unified, structured digital twin model that supports bidirectional mapping.</w:t>
      </w:r>
    </w:p>
    <w:p w14:paraId="01F1E55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15A5C55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support the collection of device configuration, connectivity, and performance status data from core, transport, access, and other domains through various standard northbound interfaces such as SNMP, NETCONF/YANG.</w:t>
      </w:r>
    </w:p>
    <w:p w14:paraId="43E3EE7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possess data cleaning, association, and fusion capabilities, enabling the integration of physical topology, logical configuration, and GIS spatial information into a unified network resource graph data model.</w:t>
      </w:r>
    </w:p>
    <w:p w14:paraId="235E623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provide visual modeling tools that allow for attribute editing and relationship maintenance of objects such as network elements and links in the twin model, and support model version management.</w:t>
      </w:r>
    </w:p>
    <w:p w14:paraId="4999C83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0B04BBD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Business-Driven Topology Planning and Scheme Generation</w:t>
      </w:r>
    </w:p>
    <w:p w14:paraId="7E65086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efficiently respond to network construction and expansion needs, the management system must address how to translate high-level business requirements (such as capacity and coverage) into specific and feasible network topology design schemes, and provide multiple schemes for comparative analysis.</w:t>
      </w:r>
    </w:p>
    <w:p w14:paraId="0A35E6C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0C0465D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incorporate an automatic topology planning algorithm that can automatically generate an initial network element deployment and link connection scheme based on input business constraints such as capacity, latency, and cost, as well as optimization objectives.</w:t>
      </w:r>
    </w:p>
    <w:p w14:paraId="4CF5069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provide a graphical interactive planning interface that supports users in performing manual optimization operations such as adding or deleting network elements and adjusting links based on automatically generated schemes.</w:t>
      </w:r>
    </w:p>
    <w:p w14:paraId="2F433FA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be capable of performing resource statistics and inventory output for different planning schemes, and displaying the differences between schemes in terms of equipment quantity, port requirements, and link costs.</w:t>
      </w:r>
    </w:p>
    <w:p w14:paraId="5B50004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126ADC6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Pre-deployment Simulation and Optimization of Planned Topology</w:t>
      </w:r>
    </w:p>
    <w:p w14:paraId="4F7C792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reduce the risk of network construction, the management system needs to address how to conduct high-confidence digital simulation of the planned topology before deployment, predict its performance and robustness, and provide quantifiable optimization suggestions based on the results.</w:t>
      </w:r>
    </w:p>
    <w:p w14:paraId="2057B0D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4AB3303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integrate a network simulation engine, capable of simulating business traffic based on the planned topology, and analyzing key performance indicators such as overall network latency distribution, bandwidth utilization, and throughput.</w:t>
      </w:r>
    </w:p>
    <w:p w14:paraId="7A938C9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support the simulation of single or multiple failure scenarios, automatically calculate and analyze the survivability of the topology, and identify vulnerable links such as critical nodes/links.</w:t>
      </w:r>
    </w:p>
    <w:p w14:paraId="30A708C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be able to automatically or semi-automatically generate topology optimization suggestions (such as adjusting link capacity, adding redundant paths) based on simulation results, and support iterative simulation verification of the proposed solutions.</w:t>
      </w:r>
    </w:p>
    <w:p w14:paraId="2F58D3F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70C40B3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Automated Closed-loop Orchestration and Operational Consistency Assurance</w:t>
      </w:r>
    </w:p>
    <w:p w14:paraId="718BF94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"what you see is what you get" agile delivery and operation and maintenance, the management system needs to address how to safely and accurately automate the deployment of validated virtual planning to the physical network, and ensure that the twin model remains consistent with the physical network throughout subsequent operations.</w:t>
      </w:r>
    </w:p>
    <w:p w14:paraId="67504CD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6128A0D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incorporate a network orchestrator that can automatically convert validated topology schemes into standardized configuration instruction sequences (e.g., based on YANG models) for multi-vendor devices.</w:t>
      </w:r>
    </w:p>
    <w:p w14:paraId="244ACB6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deliver configurations to physical devices through secure channels (such as NETCONF SSH) and possess a mechanism for reading back configuration results and verifying execution status to ensure successful deployment.</w:t>
      </w:r>
    </w:p>
    <w:p w14:paraId="078B50C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continuously monitor configuration and status change events of the physical network (such as network element alarms, link connectivity/disconnection), and automatically and in real-time update the digital twin model to maintain virtual-physical synchronization.</w:t>
      </w:r>
    </w:p>
    <w:p w14:paraId="3041581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18E8428A">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2</w:t>
      </w:r>
      <w:r>
        <w:rPr>
          <w:sz w:val="28"/>
          <w:lang w:eastAsia="zh-CN"/>
        </w:rPr>
        <w:t xml:space="preserve"> Management Scenario #&lt;1&gt;: </w:t>
      </w:r>
      <w:r>
        <w:rPr>
          <w:rFonts w:ascii="Arial" w:hAnsi="Arial"/>
          <w:sz w:val="28"/>
          <w:lang w:eastAsia="zh-CN"/>
        </w:rPr>
        <w:t>&lt;</w:t>
      </w:r>
      <w:r>
        <w:rPr>
          <w:rFonts w:hint="default"/>
          <w:sz w:val="28"/>
          <w:lang w:eastAsia="zh-CN"/>
        </w:rPr>
        <w:t>Capacity Planning and Optimization</w:t>
      </w:r>
      <w:r>
        <w:rPr>
          <w:rFonts w:ascii="Arial" w:hAnsi="Arial"/>
          <w:sz w:val="28"/>
          <w:lang w:eastAsia="zh-CN"/>
        </w:rPr>
        <w:t>&gt;</w:t>
      </w:r>
    </w:p>
    <w:p w14:paraId="66976E1A">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2</w:t>
      </w:r>
      <w:r>
        <w:rPr>
          <w:sz w:val="28"/>
          <w:lang w:eastAsia="zh-CN"/>
        </w:rPr>
        <w:t>.1 Description</w:t>
      </w:r>
    </w:p>
    <w:p w14:paraId="25CA02B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This scenario achieves precise prediction, dynamic adaptation, and continuous optimization of network capacity. By integrating resource capacity data, business traffic characteristics, user behavior patterns, and external environmental factors across various network domains (access network, transmission network, core network, edge nodes), a high-fidelity capacity twin model is built, breaking the static limitations of traditional capacity planning and achieving a full-process closed-loop control from "prediction-planning-deployment-monitoring-optimization".</w:t>
      </w:r>
    </w:p>
    <w:p w14:paraId="508CAD9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core of the scenario focuses on the dynamic matching between network capacity and business requirements, covering core business scenarios such as capacity reservation during peak business periods, activation of idle capacity, cross-domain capacity scheduling, capacity bottleneck warning and optimization, and adapting to the differentiated capacity requirements of diverse businesses such as 5G/6G, industrial internet, and vehicle networking. Taking the capacity planning and optimization of all-optical networks and edge nodes as an example, the business process is as follows:</w:t>
      </w:r>
    </w:p>
    <w:p w14:paraId="2A7FA22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1. The data collection module collects multi-dimensional data in real-time through standardized interfaces (NETCONF/YANG, SNMP, traffic monitoring probes), including network resource capacity (CPU utilization, memory occupation, link bandwidth, storage capacity), business traffic data (peak traffic, tidal characteristics, business type proportion), user data (user scale, distribution density, behavior habits), and environmental data (regional development planning, seasonal factors, emergency scenario warnings). This data, combined with historical data, forms a capacity analysis dataset.</w:t>
      </w:r>
    </w:p>
    <w:p w14:paraId="2EC592C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2. The twinning modeling engine cleans, integrates, and extracts features from collected data to construct a capacity twinning model, enabling visual mapping of resource capacity, business traffic, and user distribution. It supports time-series-based traffic trend deduction and capacity load simulation, accurately depicting the relationship between capacity supply and demand.</w:t>
      </w:r>
    </w:p>
    <w:p w14:paraId="5925C04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3. The capacity planning module generates dynamic capacity planning schemes based on business development forecasts (such as user growth and new business launches) and the current capacity load status, utilizing AI algorithms (time series prediction, regression analysis, load balancing algorithms). These schemes include resource expansion suggestions (such as adding new network elements and upgrading link bandwidth), capacity scheduling strategies (such as cross-domain bandwidth allocation and edge node capacity sinking), and idle capacity reuse plans. The module also outputs a capacity configuration checklist and implementation priorities.</w:t>
      </w:r>
    </w:p>
    <w:p w14:paraId="3222C00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4. Optimize the verification module to simulate and deduce the planning scheme, mimic capacity load changes under various business scenarios, verify the improvement effects of the scheme on bandwidth utilization, business latency, and user experience, identify potential capacity bottlenecks (such as local link congestion, edge node overload) and resource waste issues, and iteratively optimize the planning scheme.</w:t>
      </w:r>
    </w:p>
    <w:p w14:paraId="6C6DFFB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5. During the scheme implementation phase, the orchestrator issues capacity configuration instructions through standardized interfaces to complete operations such as resource expansion, bandwidth adjustment, and traffic scheduling rule deployment. At the same time, it synchronously updates the capacity twin model to ensure consistency between the virtual model and the actual network capacity status.</w:t>
      </w:r>
    </w:p>
    <w:p w14:paraId="30AFB00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val="en-US" w:eastAsia="zh-CN"/>
        </w:rPr>
        <w:t xml:space="preserve">6. </w:t>
      </w:r>
      <w:r>
        <w:rPr>
          <w:rFonts w:hint="eastAsia" w:ascii="Segoe UI" w:hAnsi="Segoe UI" w:eastAsia="Segoe UI" w:cs="Segoe UI"/>
          <w:color w:val="0F1115"/>
          <w:sz w:val="21"/>
          <w:szCs w:val="21"/>
          <w:shd w:val="clear" w:fill="FFFFFF"/>
          <w:lang w:eastAsia="zh-CN"/>
        </w:rPr>
        <w:t>The continuous monitoring and optimization module tracks the operational status of network capacity in real-time, dynamically captures traffic fluctuations and capacity load changes. When it detects a capacity overload warning or accumulated idle capacity, it automatically triggers the optimization process. By dynamically adjusting capacity allocation strategies, activating redundant resources, and migrating business loads, it achieves real-time optimization and efficient utilization of capacity, ensuring the stability of business experience.</w:t>
      </w:r>
    </w:p>
    <w:p w14:paraId="5A26446E">
      <w:pPr>
        <w:ind w:firstLine="420" w:firstLineChars="200"/>
        <w:jc w:val="both"/>
        <w:rPr>
          <w:rFonts w:ascii="Segoe UI" w:hAnsi="Segoe UI" w:eastAsia="Segoe UI" w:cs="Segoe UI"/>
          <w:color w:val="0F1115"/>
          <w:sz w:val="21"/>
          <w:szCs w:val="21"/>
          <w:shd w:val="clear" w:fill="FFFFFF"/>
          <w:lang w:eastAsia="zh-CN"/>
        </w:rPr>
      </w:pPr>
    </w:p>
    <w:p w14:paraId="767959C6">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2</w:t>
      </w:r>
      <w:r>
        <w:rPr>
          <w:sz w:val="28"/>
          <w:lang w:eastAsia="zh-CN"/>
        </w:rPr>
        <w:t>.2 Potential Requirements</w:t>
      </w:r>
    </w:p>
    <w:p w14:paraId="227AB76C">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615F5FE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[Biz-Req-1] The 3GPP management system should support real-time collection and integration of capacity data across domains and multiple dimensions (resources, services, users, environment) to construct a high-fidelity digital twin of network capacity.</w:t>
      </w:r>
    </w:p>
    <w:p w14:paraId="6D0E540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[Biz-Req-2] The 3GPP management system should possess AI-based intelligent capacity prediction and planning capabilities, enabling it to automatically generate dynamic solutions for capacity expansion, scheduling, and idle resource reuse.</w:t>
      </w:r>
    </w:p>
    <w:p w14:paraId="50360B7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[Biz-Req-3] The 3GPP management system should conduct simulation verification of capacity planning schemes, assess their impact on bandwidth utilization and service latency, and iteratively optimize to eliminate bottlenecks.</w:t>
      </w:r>
    </w:p>
    <w:p w14:paraId="5A6E343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[Biz-Req-4] The 3GPP management system should achieve a closed-loop self-optimization process of "sensing-predicting-adjusting" for capacity, automatically triggering and executing capacity scheduling and policy adjustments based on real-time load.</w:t>
      </w:r>
    </w:p>
    <w:p w14:paraId="5F93D309">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00866038">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603FA9E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Multi-dimensional Data Fusion and High-fidelity Capacity Twin Modeling</w:t>
      </w:r>
    </w:p>
    <w:p w14:paraId="0BB8060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precise characterization of the supply-demand relationship of network capacity, the management system needs to address how to perform real-time collection, cleaning, and correlation of massive heterogeneous data from different dimensions and granularities, such as resources, services, users, and environment, to build a digital twin that can dynamically reflect the capacity status and support trend extrapolation.</w:t>
      </w:r>
    </w:p>
    <w:p w14:paraId="67382C2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2497493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support real-time collection of multi-source data, including resource utilization, traffic matrices, user distribution, and environmental events, from network elements, business systems, and external data sources through standard interfaces (such as NETCONF/YANG, SNMP) and probes.</w:t>
      </w:r>
    </w:p>
    <w:p w14:paraId="0DFD316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possess a robust data fusion engine capable of performing spatiotemporal alignment and correlation analysis on time-series performance data, spatially distributed user data, and event-driven environmental data, thereby forming a unified capacity knowledge graph.</w:t>
      </w:r>
    </w:p>
    <w:p w14:paraId="188A3BA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provide a capacity twinning visualization modeling tool that supports simulating traffic tidal changes and capacity load trends in different regions and for different businesses based on historical and real-time data.</w:t>
      </w:r>
    </w:p>
    <w:p w14:paraId="015BFB8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6AF6C04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AI-Driven Accurate Capacity Prediction and Proactive Planning</w:t>
      </w:r>
    </w:p>
    <w:p w14:paraId="245B1B8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overcome the limitations of static planning, the management system needs to address how to utilize AI/ML technology to accurately predict future capacity requirements based on twin model data, and comprehensively consider business objectives, costs, and resource status to automatically generate forward-looking and differentiated dynamic capacity planning schemes.</w:t>
      </w:r>
    </w:p>
    <w:p w14:paraId="35863D4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186CFC7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integrate or provide interfaces to access multiple AI prediction algorithms (such as LSTM time series prediction and causal inference models), enabling multi-step and multi-confidence predictions for future capacity requirements in specific regions, businesses, or network elements.</w:t>
      </w:r>
    </w:p>
    <w:p w14:paraId="1842AF1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incorporate a built-in capacity planning strategy engine that can automatically generate a comprehensive plan encompassing capacity expansion (hardware), adjustments (bandwidth), and scheduling (cross-domain/edge) based on predictive results, business SLA priorities, and resource cost models.</w:t>
      </w:r>
    </w:p>
    <w:p w14:paraId="79B2511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be able to conduct a return on investment (ROI) and impact analysis for the generated planning scheme, and output a detailed resource allocation list with implementation priorities and dependencies.</w:t>
      </w:r>
    </w:p>
    <w:p w14:paraId="79FEF0E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4DCBA5B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Simulation-based Validation and Iterative Optimization of Capacity Plans</w:t>
      </w:r>
    </w:p>
    <w:p w14:paraId="199FD74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ensure the feasibility and efficiency of planning schemes, the management system needs to address how to verify the effectiveness of the scheme, identify potential risks, and drive iterative optimization of the scheme through digital simulation under various business scenarios and stress models before deployment.</w:t>
      </w:r>
    </w:p>
    <w:p w14:paraId="5A979AC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029546D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integrate a network traffic and performance simulation engine, capable of loading planning schemes and preset scenarios such as business growth and sudden traffic, and simulating and deducing key indicators such as bandwidth utilization across the entire network, end-to-end delay, and packet loss rate.</w:t>
      </w:r>
    </w:p>
    <w:p w14:paraId="08A6857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support automatic bottleneck location analysis, highlighting in the simulation report the network elements that may be overloaded, congested links, or services with degraded experience, and quantifying their impact.</w:t>
      </w:r>
    </w:p>
    <w:p w14:paraId="7958CE8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be able to provide or automatically apply optimization strategies (such as adjusting link weights, suggesting new connections, and modifying scheduling strategies) based on bottlenecks identified through simulation, and support a rapid iterative cycle of "simulation-optimization-re-simulation".</w:t>
      </w:r>
    </w:p>
    <w:p w14:paraId="70C7007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5F4D2F1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Closed-loop Automated Execution and Real-time Capacity Optimization</w:t>
      </w:r>
    </w:p>
    <w:p w14:paraId="2A4D79D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agile response and efficient utilization of capacity, the management system needs to address how to safely and automatically deploy validated planning schemes, continuously monitor capacity status during network operation, dynamically trigger and execute optimization strategies, and form a closed loop of perception-decision-execution.</w:t>
      </w:r>
    </w:p>
    <w:p w14:paraId="7BF92BE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3C2E22C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incorporate a policy orchestration and execution engine, capable of automatically converting capacity adjustment schemes (such as bandwidth reallocation, QoS policy updates) into executable configuration instructions for devices, and reliably issuing them through standard interfaces (such as NETCONF).</w:t>
      </w:r>
    </w:p>
    <w:p w14:paraId="170DAF0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establish thresholds and policy rules for dynamic capacity adjustment (such as automatically requesting elastic bandwidth when the link utilization rate consistently exceeds 85%), enabling rapid response from capacity warning to automatic tuning.</w:t>
      </w:r>
    </w:p>
    <w:p w14:paraId="7A7EABE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continuously monitor the network KPIs after implementing capacity strategies, verify the optimization effects, and automatically feed back to the prediction and planning module (KI-2) when the effects fail to meet expectations or new bottlenecks emerge, initiating a new round of optimization cycle.</w:t>
      </w:r>
    </w:p>
    <w:p w14:paraId="2F5517C8">
      <w:pPr>
        <w:pStyle w:val="76"/>
        <w:jc w:val="both"/>
        <w:rPr>
          <w:rFonts w:hint="eastAsia"/>
          <w:lang w:eastAsia="zh-CN"/>
        </w:rPr>
      </w:pPr>
    </w:p>
    <w:p w14:paraId="0102856C">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3</w:t>
      </w:r>
      <w:r>
        <w:rPr>
          <w:sz w:val="28"/>
          <w:lang w:eastAsia="zh-CN"/>
        </w:rPr>
        <w:t xml:space="preserve"> Management Scenario #&lt;1&gt;: </w:t>
      </w:r>
      <w:r>
        <w:rPr>
          <w:rFonts w:ascii="Arial" w:hAnsi="Arial"/>
          <w:sz w:val="28"/>
          <w:lang w:eastAsia="zh-CN"/>
        </w:rPr>
        <w:t>&lt;</w:t>
      </w:r>
      <w:r>
        <w:rPr>
          <w:rFonts w:hint="default"/>
          <w:sz w:val="28"/>
          <w:lang w:eastAsia="zh-CN"/>
        </w:rPr>
        <w:t>Change Impact Analysis</w:t>
      </w:r>
      <w:r>
        <w:rPr>
          <w:rFonts w:ascii="Arial" w:hAnsi="Arial"/>
          <w:sz w:val="28"/>
          <w:lang w:eastAsia="zh-CN"/>
        </w:rPr>
        <w:t>&gt;</w:t>
      </w:r>
    </w:p>
    <w:p w14:paraId="47F9D102">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3</w:t>
      </w:r>
      <w:r>
        <w:rPr>
          <w:sz w:val="28"/>
          <w:lang w:eastAsia="zh-CN"/>
        </w:rPr>
        <w:t>.1 Description</w:t>
      </w:r>
    </w:p>
    <w:p w14:paraId="510AA077">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This scenario aims to accurately predict and quantitatively assess the potential network performance fluctuations, service quality impacts, and stability risks that may arise from change operations, by constructing a high-fidelity digital twin network simulation environment before implementing any changes to the network, such as software upgrades, configuration adjustments, capacity expansion, new feature deployment, or network slicing instantiation. Its core lies in integrating real-time network configuration, topology, traffic patterns, user behavior, and historical performance data, and utilizing simulation engines and AI models to deduce the network state after changes.</w:t>
      </w:r>
    </w:p>
    <w:p w14:paraId="03AA32F7">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For example, before upgrading the software version of the User Plane Function (UPF) in the core network, a full-chain impact simulation assessment is conducted, and the business process is as follows:</w:t>
      </w:r>
    </w:p>
    <w:p w14:paraId="37F0B610">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1. Data Synchronization: The orchestrator triggers the change evaluation task, and the automated collection platform fetches the current configuration, topological connection relationships, real-time traffic flow entries, and traffic load data of the target UPF and its associated network elements (SMF, base stations, transmission equipment) from the live network, synchronizing them to the digital twin simulation platform.</w:t>
      </w:r>
    </w:p>
    <w:p w14:paraId="045F8BE1">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2. Twin modeling: The simulation platform dynamically constructs a virtual network twin that includes a network protocol stack, business logic, and resource constraints based on collected data, and injects real traffic models and user behavior patterns.</w:t>
      </w:r>
    </w:p>
    <w:p w14:paraId="5BE42644">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3. Change deduction: Simulate the UPF software upgrade process (including service restart, session migration, and new feature activation) in the twin system, and utilize a machine learning-based performance prediction model (considering factors such as sudden load increases and protocol interaction anomalies) to deduce key metrics during and after the upgrade (such as session establishment success rate, throughput, latency, and packet loss rate).</w:t>
      </w:r>
    </w:p>
    <w:p w14:paraId="0FEFB11E">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4. Impact Analysis: The analysis engine synthesizes simulation results to identify potential risk points (such as a decrease of more than 20% in specific slice throughput during upgrades, or a signaling storm caused by compatibility issues with a certain vendor's base station), and quantifies the scope of impact (such as the number of affected users and the types of services).</w:t>
      </w:r>
    </w:p>
    <w:p w14:paraId="7C5CF42D">
      <w:pPr>
        <w:ind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5. Decision-making suggestion generation: The system generates evaluation reports and decision-making suggestions, such as recommending an upgrade during a specific time window in the early morning and pre-adjusting the load weights of adjacent UPFs; or suggesting that a specific base station software version should be upgraded first to avoid compatibility issues.</w:t>
      </w:r>
    </w:p>
    <w:p w14:paraId="7AE927F8">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6. Verification loop: After the actual changes are completed, collect real performance data and compare it with simulation prediction results to continuously optimize the simulation model and prediction algorithm.</w:t>
      </w:r>
    </w:p>
    <w:p w14:paraId="2378EBF3">
      <w:pPr>
        <w:ind w:firstLine="420" w:firstLineChars="200"/>
        <w:jc w:val="both"/>
        <w:rPr>
          <w:rFonts w:ascii="Segoe UI" w:hAnsi="Segoe UI" w:eastAsia="Segoe UI" w:cs="Segoe UI"/>
          <w:color w:val="0F1115"/>
          <w:sz w:val="21"/>
          <w:szCs w:val="21"/>
          <w:shd w:val="clear" w:fill="FFFFFF"/>
          <w:lang w:eastAsia="zh-CN"/>
        </w:rPr>
      </w:pPr>
    </w:p>
    <w:p w14:paraId="6A4242ED">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3</w:t>
      </w:r>
      <w:r>
        <w:rPr>
          <w:sz w:val="28"/>
          <w:lang w:eastAsia="zh-CN"/>
        </w:rPr>
        <w:t>.2 Potential Requirements</w:t>
      </w:r>
    </w:p>
    <w:p w14:paraId="194309CC">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75F72C9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[Biz-Req-1] The 3GPP management system should support automatic synchronization of real-time configuration, topology, and business data of relevant network elements to the digital twin environment before network changes (such as software upgrades).</w:t>
      </w:r>
    </w:p>
    <w:p w14:paraId="3871D27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[Biz-Req-2] The 3GPP management system should be able to utilize digital twins and AI models to conduct deduction simulations of change operations, predicting their impact on network performance and service quality.</w:t>
      </w:r>
    </w:p>
    <w:p w14:paraId="6EAC8B0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[Biz-Req-3] The 3GPP management system should automatically identify and quantify potential risks of changes (such as performance degradation, compatibility issues) based on simulation results, and generate an evaluation report containing mitigation measures.</w:t>
      </w:r>
    </w:p>
    <w:p w14:paraId="0C9DBF3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[Biz-Req-4] The 3GPP management system should support the comparison between the changed real network data and simulation prediction results, in order to continuously optimize the simulation model and evaluation algorithm.</w:t>
      </w:r>
    </w:p>
    <w:p w14:paraId="62D1FAAA">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2DF79550">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44BDB8A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High-fidelity and Automated Data Synchronization for Twin Construction</w:t>
      </w:r>
    </w:p>
    <w:p w14:paraId="18DFBDD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construct a high-fidelity twin environment suitable for change impact assessment, the management system must address the challenge of automatically, losslessly, and consistently extracting and synchronizing all key data (configuration, topology, real-time status, and business flow) involved in the scope of target changes from complex live networks.</w:t>
      </w:r>
    </w:p>
    <w:p w14:paraId="6856482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5AC4483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provide an automatic discovery function for change impact domains, which can intelligently identify and correlate upstream and downstream network elements (such as connected SMF and base stations) based on the change object (such as a certain UPF), and determine the scope of data synchronization.</w:t>
      </w:r>
    </w:p>
    <w:p w14:paraId="15B9DB3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support the atomic collection and locking of complete configuration snapshots, topological connection relationships, and current traffic flow tables/session states of network elements within the target domain from the existing network through transactional operations.</w:t>
      </w:r>
    </w:p>
    <w:p w14:paraId="525FF75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possess a data consistency verification mechanism to ensure that various types of data synchronized to the twin environment (such as the configured bandwidth of ports and the real-time bandwidth monitored by traffic) are logically consistent, forming an effective baseline for simulation.</w:t>
      </w:r>
    </w:p>
    <w:p w14:paraId="59DA2E6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7013EE9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Dynamic and Accurate Change Emulation and Performance Prediction</w:t>
      </w:r>
    </w:p>
    <w:p w14:paraId="2DEE71F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accurately deduce the change process, the management system needs to address how to dynamically simulate complex change operations (such as service restarts and protocol renegotiations) within the digital twin, and utilize models to predict the evolution trends of network performance and business indicators at various stages of the change.</w:t>
      </w:r>
    </w:p>
    <w:p w14:paraId="37006EE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5BCB5C3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simulation engine of the management system should support the establishment of standardized simulation process models for common change operations (software upgrades, configuration updates, equipment expansion), and be able to inject them into the digital twin for execution.</w:t>
      </w:r>
    </w:p>
    <w:p w14:paraId="74E3797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integrate or utilize a performance prediction model based on machine learning, which can predict abnormal states (such as signaling storms, surge in session migration failure rates) that may be triggered by changes, by combining historical failure patterns in simulation exercises.</w:t>
      </w:r>
    </w:p>
    <w:p w14:paraId="3D50D32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deduction process of the management system should be able to produce time-sequenced simulation results, demonstrating the dynamic change curves of key KPIs (such as latency, packet loss rate, and success rate) from the initiation, progress, to the completion of changes.</w:t>
      </w:r>
    </w:p>
    <w:p w14:paraId="01DF0ED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617F44B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Comprehensive Risk Identification and Quantifiable Impact Assessment</w:t>
      </w:r>
    </w:p>
    <w:p w14:paraId="1AA93A5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Based on the deduction results, the management system needs to address how to intelligently identify potential risk points with business impacts from massive simulation data, and conduct a multi-dimensional and quantifiable precise assessment of their severity and impact scope.</w:t>
      </w:r>
    </w:p>
    <w:p w14:paraId="33FD602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03FA8DC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have a built-in risk analysis engine that can automatically locate network elements, links, or service slices with performance degradation exceeding the threshold in simulation, based on predefined SLA thresholds (such as latency &gt; 50ms) compared to the baseline.</w:t>
      </w:r>
    </w:p>
    <w:p w14:paraId="039FB71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be able to perform impact tracing and correlation analysis on identified risks. For example, it should be able to correlate the decrease in throughput caused by an upgrade of UPF with the specific user groups, business types, and geographical areas affected.</w:t>
      </w:r>
    </w:p>
    <w:p w14:paraId="4EFEC12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generate structured evaluation reports that quantify risk levels (such as high risk, medium risk), and clearly list the affected KPI indicators, user scale estimates, and the potential duration time window.</w:t>
      </w:r>
    </w:p>
    <w:p w14:paraId="7A871C8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3B1B7E7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Decision Support and Closed-loop Model Optimization</w:t>
      </w:r>
    </w:p>
    <w:p w14:paraId="260C356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support decision-making and enhance the accuracy of long-term assessments, the management system needs to address how to generate actionable decision recommendations based on risk assessments. Furthermore, after implementing changes, it should utilize the discrepancies between real data and simulation results to continuously optimize simulation and prediction models.</w:t>
      </w:r>
    </w:p>
    <w:p w14:paraId="7747C8F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3C8A5F9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provide a decision-making suggestion library framework that can automatically match or generate mitigation suggestions (such as suggesting a change in time window, suggesting pre-adjustment of configuration, suggesting batch upgrades) based on risk types (such as performance degradation, compatibility).</w:t>
      </w:r>
    </w:p>
    <w:p w14:paraId="0408628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After the actual change is implemented, the management system should be able to automatically collect real network performance data for the same time window and the same observation metrics.</w:t>
      </w:r>
    </w:p>
    <w:p w14:paraId="7CC1193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provide a model optimization tool that can perform a differential analysis between real data and simulated predictive data, and utilize this differential data to automatically trigger or assist administrators in calibrating and retraining simulation parameters and AI predictive models.</w:t>
      </w:r>
    </w:p>
    <w:p w14:paraId="0897558F">
      <w:pPr>
        <w:pStyle w:val="76"/>
        <w:rPr>
          <w:rFonts w:hint="eastAsia"/>
          <w:lang w:eastAsia="zh-CN"/>
        </w:rPr>
      </w:pPr>
    </w:p>
    <w:p w14:paraId="66EB38DA">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4</w:t>
      </w:r>
      <w:r>
        <w:rPr>
          <w:sz w:val="28"/>
          <w:lang w:eastAsia="zh-CN"/>
        </w:rPr>
        <w:t xml:space="preserve"> Management Scenario #&lt;1&gt;: </w:t>
      </w:r>
      <w:r>
        <w:rPr>
          <w:rFonts w:ascii="Arial" w:hAnsi="Arial"/>
          <w:sz w:val="28"/>
          <w:lang w:eastAsia="zh-CN"/>
        </w:rPr>
        <w:t>&lt;</w:t>
      </w:r>
      <w:r>
        <w:rPr>
          <w:rFonts w:hint="default"/>
          <w:sz w:val="28"/>
          <w:lang w:eastAsia="zh-CN"/>
        </w:rPr>
        <w:t>Fault Simulation and Drills</w:t>
      </w:r>
      <w:r>
        <w:rPr>
          <w:rFonts w:ascii="Arial" w:hAnsi="Arial"/>
          <w:sz w:val="28"/>
          <w:lang w:eastAsia="zh-CN"/>
        </w:rPr>
        <w:t>&gt;</w:t>
      </w:r>
    </w:p>
    <w:p w14:paraId="1D0A3283">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4</w:t>
      </w:r>
      <w:r>
        <w:rPr>
          <w:sz w:val="28"/>
          <w:lang w:eastAsia="zh-CN"/>
        </w:rPr>
        <w:t>.1 Description</w:t>
      </w:r>
    </w:p>
    <w:p w14:paraId="54302D08">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left="0" w:right="0"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This scenario involves actively and safely injecting various hardware and software faults, abnormal traffic, and network attacks into a digital twin network or controlled testing environment. The aim is to systematically verify network resilience, fault recovery mechanisms (such as self-healing functions), the effectiveness of emergency response plans, and the response capabilities of operation and maintenance teams. The goal is to establish a normalized "cyber attack and defense training ground" to enhance the network's resilience against unknown risks.</w:t>
      </w:r>
    </w:p>
    <w:p w14:paraId="79BA979E">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left="0" w:right="0"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For example, the resilience testing for the SLA guarantee capability of 6G network slicing follows the following business process:</w:t>
      </w:r>
    </w:p>
    <w:p w14:paraId="28596321">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left="0" w:right="0"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1. Drill scenario arrangement: Operation and maintenance personnel select the target test slice in the drill platform and choose the fault scenario to be injected from the standardized fault pattern library, such as: backbone fiber interruption that carries the slice, CPU overload of core network elements, or DDoS attack.</w:t>
      </w:r>
    </w:p>
    <w:p w14:paraId="2ACEB4A1">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left="0" w:right="0"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2. Environment preparation and isolation: The orchestrator distributes the drill configuration to the digital twin environment or a dedicated physical test bed, ensuring strict isolation between the drill traffic and the production environment.</w:t>
      </w:r>
    </w:p>
    <w:p w14:paraId="05C2CF91">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left="0" w:right="0"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3. Fault injection and execution: The fault injection engine precisely injects faults (such as simulating a link packet loss rate increase to 50% and triggering a network element active-standby switchover) at designated locations (such as the transport layer and network element virtualization layer) through standardized interfaces based on scenarios.</w:t>
      </w:r>
    </w:p>
    <w:p w14:paraId="4AEEDE8B">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left="0" w:right="0"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4. Comprehensive monitoring and response triggering: The monitoring system collects performance metrics, alarm logs, and operation and maintenance operation flows of the simulated network in real time. At the same time, it verifies whether the automatic healing system (such as AI-based traffic rerouting) triggers as expected and notifies the operation and maintenance team to intervene and handle the situation.</w:t>
      </w:r>
    </w:p>
    <w:p w14:paraId="7A25B25C">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40" w:lineRule="auto"/>
        <w:ind w:left="0" w:right="0" w:firstLine="420" w:firstLineChars="200"/>
        <w:jc w:val="both"/>
        <w:rPr>
          <w:rFonts w:hint="default"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5. Effect evaluation and review: The analysis system automatically evaluates the extent of the impact of the failure (such as the duration of KPI violation in slicing), the effectiveness of the recovery actions (such as whether the recovery time meets the SLA), and the accuracy of the execution of the contingency plan. A detailed drill report is generated, including a timeline, problem areas, and improvement suggestions.</w:t>
      </w:r>
    </w:p>
    <w:p w14:paraId="71D89FF5">
      <w:pPr>
        <w:ind w:firstLine="420" w:firstLineChars="200"/>
        <w:jc w:val="both"/>
        <w:rPr>
          <w:rFonts w:ascii="Segoe UI" w:hAnsi="Segoe UI" w:eastAsia="Segoe UI" w:cs="Segoe UI"/>
          <w:color w:val="0F1115"/>
          <w:sz w:val="21"/>
          <w:szCs w:val="21"/>
          <w:shd w:val="clear" w:fill="FFFFFF"/>
          <w:lang w:eastAsia="zh-CN"/>
        </w:rPr>
      </w:pPr>
      <w:r>
        <w:rPr>
          <w:rFonts w:hint="default" w:ascii="Segoe UI" w:hAnsi="Segoe UI" w:eastAsia="Segoe UI" w:cs="Segoe UI"/>
          <w:color w:val="0F1115"/>
          <w:sz w:val="21"/>
          <w:szCs w:val="21"/>
          <w:shd w:val="clear" w:fill="FFFFFF"/>
          <w:lang w:eastAsia="zh-CN"/>
        </w:rPr>
        <w:t>6. Knowledge base update: Transform successful recovery strategies or newly discovered weak links into standardized plans or rules, and update them to the fault mode library and automated strategy library, achieving "training through combat and continuous optimization".</w:t>
      </w:r>
    </w:p>
    <w:p w14:paraId="2C2C25C0">
      <w:pPr>
        <w:ind w:firstLine="420" w:firstLineChars="200"/>
        <w:jc w:val="both"/>
        <w:rPr>
          <w:rFonts w:ascii="Segoe UI" w:hAnsi="Segoe UI" w:eastAsia="Segoe UI" w:cs="Segoe UI"/>
          <w:color w:val="0F1115"/>
          <w:sz w:val="21"/>
          <w:szCs w:val="21"/>
          <w:shd w:val="clear" w:fill="FFFFFF"/>
          <w:lang w:eastAsia="zh-CN"/>
        </w:rPr>
      </w:pPr>
    </w:p>
    <w:p w14:paraId="33A8F1D8">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4</w:t>
      </w:r>
      <w:r>
        <w:rPr>
          <w:sz w:val="28"/>
          <w:lang w:eastAsia="zh-CN"/>
        </w:rPr>
        <w:t>.2 Potential Requirements</w:t>
      </w:r>
    </w:p>
    <w:p w14:paraId="6C80E2ED">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7EF4C19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[Biz-Req-1] The 3GPP management system should support standardized orchestration of resilience exercise scenarios, including selecting targets from the failure mode library, defining fault injection parameters, and isolation strategies.</w:t>
      </w:r>
    </w:p>
    <w:p w14:paraId="31B0971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[Biz-Req-2] The 3GPP management system should be capable of executing predefined software and hardware faults and attack injections in an isolated twin or test environment through standardized interfaces in a safe and controllable manner.</w:t>
      </w:r>
    </w:p>
    <w:p w14:paraId="18F4E63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[Biz-Req-3] The 3GPP management system should conduct comprehensive monitoring and automated evaluation of the drill process, quantitatively analyzing whether the impact of failures, network self-healing effects, and recovery time meet the standards.</w:t>
      </w:r>
    </w:p>
    <w:p w14:paraId="46C2F240">
      <w:pPr>
        <w:numPr>
          <w:ilvl w:val="0"/>
          <w:numId w:val="0"/>
        </w:numPr>
        <w:ind w:firstLine="420" w:firstLineChars="200"/>
        <w:jc w:val="both"/>
        <w:rPr>
          <w:lang w:eastAsia="zh-CN"/>
        </w:rPr>
      </w:pPr>
      <w:r>
        <w:rPr>
          <w:rFonts w:hint="eastAsia" w:ascii="Segoe UI" w:hAnsi="Segoe UI" w:eastAsia="Segoe UI" w:cs="Segoe UI"/>
          <w:color w:val="0F1115"/>
          <w:sz w:val="21"/>
          <w:szCs w:val="21"/>
          <w:shd w:val="clear" w:fill="FFFFFF"/>
          <w:lang w:val="en-US" w:eastAsia="zh-CN" w:bidi="ar"/>
        </w:rPr>
        <w:t>[Biz-Req-4] The 3GPP management system should be able to transform the results of drills (such as effective recovery strategies and newly discovered vulnerabilities) into knowledge, which can be used to update the fault database and automated strategies, achieving a closed-loop resilience optimization.</w:t>
      </w:r>
    </w:p>
    <w:p w14:paraId="38AC9429">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520D7B7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Safe, Isolated, and Controllable Fault/Attack Orchestration</w:t>
      </w:r>
    </w:p>
    <w:p w14:paraId="1651B68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establish a normalized capability for offensive and defensive drills, the management system needs to address how to ensure strict isolation between the drill process and the production environment, and enable precise and repeatable orchestration and definition of complex, cross-layer fault and attack scenarios.</w:t>
      </w:r>
    </w:p>
    <w:p w14:paraId="294F9A5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1AC66E3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maintain a standardized and scalable library of fault and attack patterns, providing structured descriptions of the injection methods, impact levels (physical/logical), and expected behaviors for each pattern.</w:t>
      </w:r>
    </w:p>
    <w:p w14:paraId="543BFE7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provide a powerful rehearsal scenario orchestrator, supporting the combination of multiple basic fault modes into complex scenarios (such as "fiber optic interruption" combined with "specific network element CPU overload"), and allowing for the definition of triggering timing and conditions.</w:t>
      </w:r>
    </w:p>
    <w:p w14:paraId="55A29E2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possess strict environmental isolation and security control capabilities to ensure that all drill traffic, configuration changes, and fault injection operations are completely confined within the designated digital twin sandbox or physical test bed.</w:t>
      </w:r>
    </w:p>
    <w:p w14:paraId="0E762DA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2E06C6A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Precise Fault Injection and Real-time Telemetry in Test Environments</w:t>
      </w:r>
    </w:p>
    <w:p w14:paraId="2E21FE4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truly simulate network anomalies, the management system needs to address how to implement precise fault injection on target network elements or links through standardized interfaces in an isolated environment, while simultaneously obtaining high-fidelity and comprehensive real-time monitoring data.</w:t>
      </w:r>
    </w:p>
    <w:p w14:paraId="4C06D73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5B7FB5B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integrate or provide a standard interface to interact with a fault injection engine, which is capable of precisely triggering faults (such as packet loss, latency, process crash) at designated locations (such as virtual links, NE operating system kernel) according to instructions.</w:t>
      </w:r>
    </w:p>
    <w:p w14:paraId="396770A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be capable of deploying enhanced telemetry probes in a simulated environment, enabling the collection of network performance KPIs, device logs, control plane signaling flows, and decision logs of automated systems at millisecond granularity before and after fault injection.</w:t>
      </w:r>
    </w:p>
    <w:p w14:paraId="0468762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management system should possess the capability to control the drilling process, supporting one-click stop, pause, resume, or rollback of drilling scenarios, ensuring immediate termination in the event of uncontrollable risks.</w:t>
      </w:r>
    </w:p>
    <w:p w14:paraId="3F72D12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7771A75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Automated, Quantitative Assessment of Network Resilience and Recovery</w:t>
      </w:r>
    </w:p>
    <w:p w14:paraId="27606BB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objectively evaluate network resilience, the management system needs to address how to automatically and quantitatively analyze the scope of failure impact, the timeliness and effectiveness of triggering network self-healing mechanisms (such as rerouting and elastic scaling), as well as the overall recovery level, based on drill monitoring data.</w:t>
      </w:r>
    </w:p>
    <w:p w14:paraId="49DE7A6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4CCE74E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incorporate a built-in resilience assessment model capable of automatically calculating key indicators such as mean time to interruption (MTTI), mean time to recovery (MTTR), fault detection time, as well as the magnitude and duration of deviations of KPIs (such as throughput and latency) from the service level agreement (SLA).</w:t>
      </w:r>
    </w:p>
    <w:p w14:paraId="07CBF3C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be able to automatically compare the preset emergency response plan (such as switching process) with the actual network response actions (such as routing table change records), and evaluate the compliance of the plan execution and the accuracy of automated operations.</w:t>
      </w:r>
    </w:p>
    <w:p w14:paraId="3D6D83E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generate structured drill review reports, automatically associating key events such as fault injection, alarm generation, recovery actions, and performance recovery, forming a visual timeline, and marking successful items and problem points.</w:t>
      </w:r>
    </w:p>
    <w:p w14:paraId="0DE52C2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27EEB50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7B22838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Knowledge Distillation and Closed-loop Optimization of Defenses</w:t>
      </w:r>
    </w:p>
    <w:p w14:paraId="1050286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"using war to sustain war", the management system needs to address how to extract effective experience from massive exercise data, solidify verified recovery strategies into executable strategies, and transform identified vulnerabilities into new detection rules or defense plans.</w:t>
      </w:r>
    </w:p>
    <w:p w14:paraId="15AB797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1F0503A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provide a knowledge extraction engine that can automatically analyze successful recovery cases, extract key decision-making features (such as "triggering rerouting when link utilization rate &gt; X%"), and convert them into deployable automated policy rules or AI model training features.</w:t>
      </w:r>
    </w:p>
    <w:p w14:paraId="5E5BF9F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be able to automatically create work orders or suggestion items for new vulnerabilities, inefficient plans, or uncovered scenarios discovered during drills, which can be used to drive updates to the failure mode library, emergency plan library, or network monitoring rules.</w:t>
      </w:r>
    </w:p>
    <w:p w14:paraId="78029A4F">
      <w:pPr>
        <w:numPr>
          <w:ilvl w:val="0"/>
          <w:numId w:val="0"/>
        </w:numPr>
        <w:ind w:firstLine="420" w:firstLineChars="200"/>
        <w:jc w:val="both"/>
        <w:rPr>
          <w:lang w:eastAsia="zh-CN"/>
        </w:rPr>
      </w:pPr>
      <w:r>
        <w:rPr>
          <w:rFonts w:hint="eastAsia" w:ascii="Segoe UI" w:hAnsi="Segoe UI" w:eastAsia="Segoe UI" w:cs="Segoe UI"/>
          <w:color w:val="0F1115"/>
          <w:sz w:val="21"/>
          <w:szCs w:val="21"/>
          <w:shd w:val="clear" w:fill="FFFFFF"/>
          <w:lang w:val="en-US" w:eastAsia="zh-CN" w:bidi="ar"/>
        </w:rPr>
        <w:t>[Tech-Req-KI-4-3] The management system should support statistical analysis based on historical drill data, display trend changes in network resilience indicators (such as average recovery time), and intuitively reflect the optimization effect achieved by the defense system through continuous drills.</w:t>
      </w:r>
    </w:p>
    <w:p w14:paraId="7CE5B4AD">
      <w:pPr>
        <w:pStyle w:val="76"/>
        <w:rPr>
          <w:lang w:eastAsia="zh-CN"/>
        </w:rPr>
      </w:pPr>
    </w:p>
    <w:p w14:paraId="5B17ED3B">
      <w:pPr>
        <w:pStyle w:val="76"/>
        <w:rPr>
          <w:lang w:eastAsia="zh-CN"/>
        </w:rPr>
      </w:pPr>
    </w:p>
    <w:p w14:paraId="15F76069"/>
    <w:p w14:paraId="4E3A6C0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4EC76C">
      <w:pPr>
        <w:pStyle w:val="11"/>
      </w:pPr>
      <w:bookmarkStart w:id="0" w:name="_Toc214989633"/>
      <w:bookmarkStart w:id="1" w:name="_Toc215056210"/>
      <w:bookmarkStart w:id="2" w:name="_Toc204948731"/>
      <w:bookmarkStart w:id="3" w:name="_Toc204948604"/>
      <w:bookmarkStart w:id="4" w:name="_Toc206752147"/>
      <w:bookmarkStart w:id="5" w:name="_Toc214981708"/>
      <w:bookmarkStart w:id="6" w:name="_Toc215665857"/>
      <w:r>
        <w:t>Annex A:</w:t>
      </w:r>
      <w:r>
        <w:br w:type="textWrapping"/>
      </w:r>
      <w:bookmarkEnd w:id="0"/>
      <w:bookmarkEnd w:id="1"/>
      <w:bookmarkEnd w:id="2"/>
      <w:bookmarkEnd w:id="3"/>
      <w:bookmarkEnd w:id="4"/>
      <w:bookmarkEnd w:id="5"/>
      <w:bookmarkEnd w:id="6"/>
      <w:r>
        <w:t>Management Scenarios, Key Issues, and Solutions Mapping</w:t>
      </w:r>
    </w:p>
    <w:p w14:paraId="13453847">
      <w:pPr>
        <w:pStyle w:val="2"/>
      </w:pPr>
      <w:bookmarkStart w:id="7" w:name="_Toc215665859"/>
      <w:bookmarkStart w:id="8" w:name="_Toc214989635"/>
      <w:bookmarkStart w:id="9" w:name="_Toc214981710"/>
      <w:bookmarkStart w:id="10" w:name="_Toc215056212"/>
      <w:r>
        <w:t>A.1</w:t>
      </w:r>
      <w:r>
        <w:tab/>
      </w:r>
      <w:r>
        <w:t>Mapping between Management Scenarios and Key Issues</w:t>
      </w:r>
      <w:bookmarkEnd w:id="7"/>
      <w:bookmarkEnd w:id="8"/>
      <w:bookmarkEnd w:id="9"/>
      <w:bookmarkEnd w:id="10"/>
    </w:p>
    <w:p w14:paraId="618CBE8D">
      <w:pPr>
        <w:pStyle w:val="58"/>
      </w:pPr>
      <w:r>
        <w:t>Table A.2-1: Mapping of Key Issues to Management Scenarios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67"/>
        <w:gridCol w:w="351"/>
        <w:gridCol w:w="542"/>
        <w:gridCol w:w="544"/>
        <w:gridCol w:w="544"/>
        <w:gridCol w:w="544"/>
        <w:gridCol w:w="544"/>
        <w:gridCol w:w="544"/>
        <w:gridCol w:w="544"/>
        <w:gridCol w:w="615"/>
        <w:gridCol w:w="615"/>
        <w:gridCol w:w="615"/>
        <w:gridCol w:w="615"/>
        <w:gridCol w:w="615"/>
      </w:tblGrid>
      <w:tr w14:paraId="7989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96" w:type="dxa"/>
            <w:vMerge w:val="restart"/>
          </w:tcPr>
          <w:p w14:paraId="6F77215A">
            <w:pPr>
              <w:pStyle w:val="54"/>
              <w:rPr>
                <w:sz w:val="16"/>
                <w:szCs w:val="16"/>
              </w:rPr>
            </w:pPr>
            <w:r>
              <w:rPr>
                <w:sz w:val="16"/>
                <w:szCs w:val="16"/>
              </w:rPr>
              <w:t>Key Issues</w:t>
            </w:r>
          </w:p>
        </w:tc>
        <w:tc>
          <w:tcPr>
            <w:tcW w:w="7799" w:type="dxa"/>
            <w:gridSpan w:val="14"/>
          </w:tcPr>
          <w:p w14:paraId="48477CBF">
            <w:pPr>
              <w:pStyle w:val="54"/>
              <w:rPr>
                <w:szCs w:val="18"/>
              </w:rPr>
            </w:pPr>
            <w:r>
              <w:rPr>
                <w:sz w:val="16"/>
                <w:szCs w:val="16"/>
              </w:rPr>
              <w:t>Management Scenarios</w:t>
            </w:r>
          </w:p>
        </w:tc>
      </w:tr>
      <w:tr w14:paraId="61F1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696" w:type="dxa"/>
            <w:vMerge w:val="continue"/>
          </w:tcPr>
          <w:p w14:paraId="2A02A82D">
            <w:pPr>
              <w:pStyle w:val="54"/>
              <w:rPr>
                <w:sz w:val="16"/>
                <w:szCs w:val="16"/>
              </w:rPr>
            </w:pPr>
          </w:p>
        </w:tc>
        <w:tc>
          <w:tcPr>
            <w:tcW w:w="567" w:type="dxa"/>
          </w:tcPr>
          <w:p w14:paraId="42FA9EB0">
            <w:pPr>
              <w:pStyle w:val="54"/>
              <w:rPr>
                <w:sz w:val="14"/>
                <w:szCs w:val="16"/>
              </w:rPr>
            </w:pPr>
            <w:r>
              <w:rPr>
                <w:sz w:val="14"/>
                <w:szCs w:val="16"/>
              </w:rPr>
              <w:t>1</w:t>
            </w:r>
          </w:p>
        </w:tc>
        <w:tc>
          <w:tcPr>
            <w:tcW w:w="351" w:type="dxa"/>
          </w:tcPr>
          <w:p w14:paraId="23A6A5B3">
            <w:pPr>
              <w:pStyle w:val="54"/>
              <w:rPr>
                <w:sz w:val="14"/>
                <w:szCs w:val="16"/>
              </w:rPr>
            </w:pPr>
            <w:r>
              <w:rPr>
                <w:sz w:val="14"/>
                <w:szCs w:val="16"/>
              </w:rPr>
              <w:t>2</w:t>
            </w:r>
          </w:p>
        </w:tc>
        <w:tc>
          <w:tcPr>
            <w:tcW w:w="542" w:type="dxa"/>
          </w:tcPr>
          <w:p w14:paraId="4B2F7CBF">
            <w:pPr>
              <w:pStyle w:val="54"/>
              <w:rPr>
                <w:sz w:val="14"/>
                <w:szCs w:val="16"/>
              </w:rPr>
            </w:pPr>
            <w:r>
              <w:rPr>
                <w:sz w:val="14"/>
                <w:szCs w:val="16"/>
              </w:rPr>
              <w:t>3</w:t>
            </w:r>
          </w:p>
        </w:tc>
        <w:tc>
          <w:tcPr>
            <w:tcW w:w="544" w:type="dxa"/>
          </w:tcPr>
          <w:p w14:paraId="77D1987B">
            <w:pPr>
              <w:pStyle w:val="54"/>
              <w:rPr>
                <w:sz w:val="14"/>
                <w:szCs w:val="16"/>
              </w:rPr>
            </w:pPr>
            <w:r>
              <w:rPr>
                <w:sz w:val="14"/>
                <w:szCs w:val="16"/>
              </w:rPr>
              <w:t>4</w:t>
            </w:r>
          </w:p>
        </w:tc>
        <w:tc>
          <w:tcPr>
            <w:tcW w:w="544" w:type="dxa"/>
          </w:tcPr>
          <w:p w14:paraId="3ED39281">
            <w:pPr>
              <w:pStyle w:val="54"/>
              <w:rPr>
                <w:sz w:val="14"/>
                <w:szCs w:val="16"/>
              </w:rPr>
            </w:pPr>
            <w:r>
              <w:rPr>
                <w:sz w:val="14"/>
                <w:szCs w:val="16"/>
              </w:rPr>
              <w:t>5</w:t>
            </w:r>
          </w:p>
        </w:tc>
        <w:tc>
          <w:tcPr>
            <w:tcW w:w="544" w:type="dxa"/>
          </w:tcPr>
          <w:p w14:paraId="55A84763">
            <w:pPr>
              <w:pStyle w:val="54"/>
              <w:rPr>
                <w:sz w:val="14"/>
                <w:szCs w:val="16"/>
              </w:rPr>
            </w:pPr>
            <w:r>
              <w:rPr>
                <w:sz w:val="14"/>
                <w:szCs w:val="16"/>
              </w:rPr>
              <w:t>6</w:t>
            </w:r>
          </w:p>
        </w:tc>
        <w:tc>
          <w:tcPr>
            <w:tcW w:w="544" w:type="dxa"/>
          </w:tcPr>
          <w:p w14:paraId="33C789B7">
            <w:pPr>
              <w:pStyle w:val="54"/>
              <w:rPr>
                <w:sz w:val="14"/>
                <w:szCs w:val="16"/>
              </w:rPr>
            </w:pPr>
            <w:r>
              <w:rPr>
                <w:sz w:val="14"/>
                <w:szCs w:val="16"/>
              </w:rPr>
              <w:t>7</w:t>
            </w:r>
          </w:p>
        </w:tc>
        <w:tc>
          <w:tcPr>
            <w:tcW w:w="544" w:type="dxa"/>
          </w:tcPr>
          <w:p w14:paraId="08FB08C7">
            <w:pPr>
              <w:pStyle w:val="54"/>
              <w:rPr>
                <w:sz w:val="14"/>
                <w:szCs w:val="16"/>
              </w:rPr>
            </w:pPr>
            <w:r>
              <w:rPr>
                <w:sz w:val="14"/>
                <w:szCs w:val="16"/>
              </w:rPr>
              <w:t>8</w:t>
            </w:r>
          </w:p>
        </w:tc>
        <w:tc>
          <w:tcPr>
            <w:tcW w:w="544" w:type="dxa"/>
          </w:tcPr>
          <w:p w14:paraId="218C5EDC">
            <w:pPr>
              <w:pStyle w:val="54"/>
              <w:rPr>
                <w:sz w:val="14"/>
                <w:szCs w:val="16"/>
              </w:rPr>
            </w:pPr>
            <w:r>
              <w:rPr>
                <w:sz w:val="14"/>
                <w:szCs w:val="16"/>
              </w:rPr>
              <w:t>9</w:t>
            </w:r>
          </w:p>
        </w:tc>
        <w:tc>
          <w:tcPr>
            <w:tcW w:w="615" w:type="dxa"/>
          </w:tcPr>
          <w:p w14:paraId="211FE9FA">
            <w:pPr>
              <w:pStyle w:val="54"/>
              <w:rPr>
                <w:sz w:val="14"/>
                <w:szCs w:val="16"/>
              </w:rPr>
            </w:pPr>
            <w:r>
              <w:rPr>
                <w:sz w:val="14"/>
                <w:szCs w:val="16"/>
              </w:rPr>
              <w:t>10</w:t>
            </w:r>
          </w:p>
        </w:tc>
        <w:tc>
          <w:tcPr>
            <w:tcW w:w="615" w:type="dxa"/>
          </w:tcPr>
          <w:p w14:paraId="605FDD4E">
            <w:pPr>
              <w:pStyle w:val="54"/>
              <w:rPr>
                <w:sz w:val="14"/>
                <w:szCs w:val="16"/>
              </w:rPr>
            </w:pPr>
            <w:r>
              <w:rPr>
                <w:sz w:val="14"/>
                <w:szCs w:val="16"/>
              </w:rPr>
              <w:t>11</w:t>
            </w:r>
          </w:p>
        </w:tc>
        <w:tc>
          <w:tcPr>
            <w:tcW w:w="615" w:type="dxa"/>
          </w:tcPr>
          <w:p w14:paraId="58B9F019">
            <w:pPr>
              <w:pStyle w:val="54"/>
              <w:rPr>
                <w:sz w:val="14"/>
                <w:szCs w:val="16"/>
              </w:rPr>
            </w:pPr>
            <w:r>
              <w:rPr>
                <w:sz w:val="14"/>
                <w:szCs w:val="16"/>
              </w:rPr>
              <w:t>12</w:t>
            </w:r>
          </w:p>
        </w:tc>
        <w:tc>
          <w:tcPr>
            <w:tcW w:w="615" w:type="dxa"/>
          </w:tcPr>
          <w:p w14:paraId="703CC519">
            <w:pPr>
              <w:pStyle w:val="54"/>
              <w:rPr>
                <w:sz w:val="14"/>
                <w:szCs w:val="16"/>
              </w:rPr>
            </w:pPr>
            <w:r>
              <w:rPr>
                <w:sz w:val="14"/>
                <w:szCs w:val="16"/>
              </w:rPr>
              <w:t>13</w:t>
            </w:r>
          </w:p>
        </w:tc>
        <w:tc>
          <w:tcPr>
            <w:tcW w:w="615" w:type="dxa"/>
          </w:tcPr>
          <w:p w14:paraId="66623E00">
            <w:pPr>
              <w:pStyle w:val="54"/>
              <w:rPr>
                <w:sz w:val="14"/>
                <w:szCs w:val="16"/>
              </w:rPr>
            </w:pPr>
            <w:r>
              <w:rPr>
                <w:sz w:val="14"/>
                <w:szCs w:val="16"/>
              </w:rPr>
              <w:t>14</w:t>
            </w:r>
          </w:p>
        </w:tc>
      </w:tr>
      <w:tr w14:paraId="6586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696" w:type="dxa"/>
          </w:tcPr>
          <w:p w14:paraId="06A86DBE">
            <w:pPr>
              <w:pStyle w:val="54"/>
              <w:rPr>
                <w:sz w:val="14"/>
                <w:szCs w:val="14"/>
              </w:rPr>
            </w:pPr>
            <w:r>
              <w:rPr>
                <w:sz w:val="14"/>
                <w:szCs w:val="14"/>
              </w:rPr>
              <w:t>#1</w:t>
            </w:r>
          </w:p>
        </w:tc>
        <w:tc>
          <w:tcPr>
            <w:tcW w:w="567" w:type="dxa"/>
          </w:tcPr>
          <w:p w14:paraId="0686CD72">
            <w:pPr>
              <w:pStyle w:val="55"/>
              <w:rPr>
                <w:sz w:val="14"/>
                <w:szCs w:val="14"/>
              </w:rPr>
            </w:pPr>
          </w:p>
        </w:tc>
        <w:tc>
          <w:tcPr>
            <w:tcW w:w="351" w:type="dxa"/>
          </w:tcPr>
          <w:p w14:paraId="7C844376">
            <w:pPr>
              <w:pStyle w:val="55"/>
              <w:rPr>
                <w:sz w:val="14"/>
                <w:szCs w:val="14"/>
              </w:rPr>
            </w:pPr>
          </w:p>
        </w:tc>
        <w:tc>
          <w:tcPr>
            <w:tcW w:w="542" w:type="dxa"/>
          </w:tcPr>
          <w:p w14:paraId="791CF6C8">
            <w:pPr>
              <w:pStyle w:val="55"/>
              <w:rPr>
                <w:sz w:val="14"/>
                <w:szCs w:val="14"/>
              </w:rPr>
            </w:pPr>
          </w:p>
        </w:tc>
        <w:tc>
          <w:tcPr>
            <w:tcW w:w="544" w:type="dxa"/>
          </w:tcPr>
          <w:p w14:paraId="67344CAB">
            <w:pPr>
              <w:pStyle w:val="55"/>
              <w:rPr>
                <w:sz w:val="14"/>
                <w:szCs w:val="14"/>
              </w:rPr>
            </w:pPr>
          </w:p>
        </w:tc>
        <w:tc>
          <w:tcPr>
            <w:tcW w:w="544" w:type="dxa"/>
          </w:tcPr>
          <w:p w14:paraId="5C6E1941">
            <w:pPr>
              <w:pStyle w:val="55"/>
              <w:rPr>
                <w:sz w:val="14"/>
                <w:szCs w:val="14"/>
              </w:rPr>
            </w:pPr>
          </w:p>
        </w:tc>
        <w:tc>
          <w:tcPr>
            <w:tcW w:w="544" w:type="dxa"/>
          </w:tcPr>
          <w:p w14:paraId="06CBCA5A">
            <w:pPr>
              <w:pStyle w:val="55"/>
              <w:rPr>
                <w:sz w:val="14"/>
                <w:szCs w:val="14"/>
              </w:rPr>
            </w:pPr>
          </w:p>
        </w:tc>
        <w:tc>
          <w:tcPr>
            <w:tcW w:w="544" w:type="dxa"/>
          </w:tcPr>
          <w:p w14:paraId="531E9C36">
            <w:pPr>
              <w:pStyle w:val="55"/>
              <w:rPr>
                <w:sz w:val="14"/>
                <w:szCs w:val="14"/>
              </w:rPr>
            </w:pPr>
          </w:p>
        </w:tc>
        <w:tc>
          <w:tcPr>
            <w:tcW w:w="544" w:type="dxa"/>
          </w:tcPr>
          <w:p w14:paraId="585BA253">
            <w:pPr>
              <w:pStyle w:val="55"/>
              <w:rPr>
                <w:sz w:val="14"/>
                <w:szCs w:val="14"/>
              </w:rPr>
            </w:pPr>
          </w:p>
        </w:tc>
        <w:tc>
          <w:tcPr>
            <w:tcW w:w="544" w:type="dxa"/>
          </w:tcPr>
          <w:p w14:paraId="4E6F3AC5">
            <w:pPr>
              <w:pStyle w:val="55"/>
              <w:rPr>
                <w:sz w:val="14"/>
                <w:szCs w:val="14"/>
              </w:rPr>
            </w:pPr>
          </w:p>
        </w:tc>
        <w:tc>
          <w:tcPr>
            <w:tcW w:w="615" w:type="dxa"/>
          </w:tcPr>
          <w:p w14:paraId="1C2E71A2">
            <w:pPr>
              <w:pStyle w:val="55"/>
              <w:rPr>
                <w:sz w:val="14"/>
                <w:szCs w:val="14"/>
              </w:rPr>
            </w:pPr>
          </w:p>
        </w:tc>
        <w:tc>
          <w:tcPr>
            <w:tcW w:w="615" w:type="dxa"/>
          </w:tcPr>
          <w:p w14:paraId="3CCA1411">
            <w:pPr>
              <w:pStyle w:val="55"/>
              <w:rPr>
                <w:sz w:val="14"/>
                <w:szCs w:val="14"/>
              </w:rPr>
            </w:pPr>
          </w:p>
        </w:tc>
        <w:tc>
          <w:tcPr>
            <w:tcW w:w="615" w:type="dxa"/>
          </w:tcPr>
          <w:p w14:paraId="2F709D34">
            <w:pPr>
              <w:pStyle w:val="55"/>
              <w:rPr>
                <w:sz w:val="14"/>
                <w:szCs w:val="14"/>
              </w:rPr>
            </w:pPr>
          </w:p>
        </w:tc>
        <w:tc>
          <w:tcPr>
            <w:tcW w:w="615" w:type="dxa"/>
          </w:tcPr>
          <w:p w14:paraId="0E4BA33E">
            <w:pPr>
              <w:pStyle w:val="55"/>
              <w:rPr>
                <w:sz w:val="14"/>
                <w:szCs w:val="14"/>
              </w:rPr>
            </w:pPr>
          </w:p>
        </w:tc>
        <w:tc>
          <w:tcPr>
            <w:tcW w:w="615" w:type="dxa"/>
          </w:tcPr>
          <w:p w14:paraId="06C242B7">
            <w:pPr>
              <w:pStyle w:val="55"/>
              <w:rPr>
                <w:sz w:val="14"/>
                <w:szCs w:val="14"/>
              </w:rPr>
            </w:pPr>
          </w:p>
        </w:tc>
      </w:tr>
      <w:tr w14:paraId="2F9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96" w:type="dxa"/>
          </w:tcPr>
          <w:p w14:paraId="64C6DBDD">
            <w:pPr>
              <w:pStyle w:val="54"/>
              <w:rPr>
                <w:sz w:val="14"/>
                <w:szCs w:val="14"/>
              </w:rPr>
            </w:pPr>
            <w:r>
              <w:rPr>
                <w:sz w:val="14"/>
                <w:szCs w:val="14"/>
              </w:rPr>
              <w:t xml:space="preserve">#2 </w:t>
            </w:r>
          </w:p>
        </w:tc>
        <w:tc>
          <w:tcPr>
            <w:tcW w:w="567" w:type="dxa"/>
          </w:tcPr>
          <w:p w14:paraId="3BED99B5">
            <w:pPr>
              <w:pStyle w:val="55"/>
              <w:rPr>
                <w:sz w:val="14"/>
                <w:szCs w:val="14"/>
              </w:rPr>
            </w:pPr>
          </w:p>
        </w:tc>
        <w:tc>
          <w:tcPr>
            <w:tcW w:w="351" w:type="dxa"/>
          </w:tcPr>
          <w:p w14:paraId="252E883A">
            <w:pPr>
              <w:pStyle w:val="55"/>
              <w:rPr>
                <w:sz w:val="14"/>
                <w:szCs w:val="14"/>
              </w:rPr>
            </w:pPr>
          </w:p>
        </w:tc>
        <w:tc>
          <w:tcPr>
            <w:tcW w:w="542" w:type="dxa"/>
          </w:tcPr>
          <w:p w14:paraId="052CD9E3">
            <w:pPr>
              <w:pStyle w:val="55"/>
              <w:rPr>
                <w:sz w:val="14"/>
                <w:szCs w:val="14"/>
              </w:rPr>
            </w:pPr>
          </w:p>
        </w:tc>
        <w:tc>
          <w:tcPr>
            <w:tcW w:w="544" w:type="dxa"/>
          </w:tcPr>
          <w:p w14:paraId="24AF9183">
            <w:pPr>
              <w:pStyle w:val="55"/>
              <w:rPr>
                <w:sz w:val="14"/>
                <w:szCs w:val="14"/>
              </w:rPr>
            </w:pPr>
          </w:p>
        </w:tc>
        <w:tc>
          <w:tcPr>
            <w:tcW w:w="544" w:type="dxa"/>
          </w:tcPr>
          <w:p w14:paraId="7E6E2355">
            <w:pPr>
              <w:pStyle w:val="55"/>
              <w:rPr>
                <w:sz w:val="14"/>
                <w:szCs w:val="14"/>
              </w:rPr>
            </w:pPr>
          </w:p>
        </w:tc>
        <w:tc>
          <w:tcPr>
            <w:tcW w:w="544" w:type="dxa"/>
          </w:tcPr>
          <w:p w14:paraId="624E5E6D">
            <w:pPr>
              <w:pStyle w:val="55"/>
              <w:rPr>
                <w:sz w:val="14"/>
                <w:szCs w:val="14"/>
              </w:rPr>
            </w:pPr>
          </w:p>
        </w:tc>
        <w:tc>
          <w:tcPr>
            <w:tcW w:w="544" w:type="dxa"/>
          </w:tcPr>
          <w:p w14:paraId="738960D3">
            <w:pPr>
              <w:pStyle w:val="55"/>
              <w:rPr>
                <w:sz w:val="14"/>
                <w:szCs w:val="14"/>
              </w:rPr>
            </w:pPr>
          </w:p>
        </w:tc>
        <w:tc>
          <w:tcPr>
            <w:tcW w:w="544" w:type="dxa"/>
          </w:tcPr>
          <w:p w14:paraId="785467B3">
            <w:pPr>
              <w:pStyle w:val="55"/>
              <w:rPr>
                <w:sz w:val="14"/>
                <w:szCs w:val="14"/>
              </w:rPr>
            </w:pPr>
          </w:p>
        </w:tc>
        <w:tc>
          <w:tcPr>
            <w:tcW w:w="544" w:type="dxa"/>
          </w:tcPr>
          <w:p w14:paraId="591B3157">
            <w:pPr>
              <w:pStyle w:val="55"/>
              <w:rPr>
                <w:sz w:val="14"/>
                <w:szCs w:val="14"/>
              </w:rPr>
            </w:pPr>
          </w:p>
        </w:tc>
        <w:tc>
          <w:tcPr>
            <w:tcW w:w="615" w:type="dxa"/>
          </w:tcPr>
          <w:p w14:paraId="0340C56E">
            <w:pPr>
              <w:pStyle w:val="55"/>
              <w:rPr>
                <w:sz w:val="14"/>
                <w:szCs w:val="14"/>
              </w:rPr>
            </w:pPr>
          </w:p>
        </w:tc>
        <w:tc>
          <w:tcPr>
            <w:tcW w:w="615" w:type="dxa"/>
          </w:tcPr>
          <w:p w14:paraId="66E2B2DF">
            <w:pPr>
              <w:pStyle w:val="55"/>
              <w:rPr>
                <w:sz w:val="14"/>
                <w:szCs w:val="14"/>
              </w:rPr>
            </w:pPr>
          </w:p>
        </w:tc>
        <w:tc>
          <w:tcPr>
            <w:tcW w:w="615" w:type="dxa"/>
          </w:tcPr>
          <w:p w14:paraId="21F511C6">
            <w:pPr>
              <w:pStyle w:val="55"/>
              <w:rPr>
                <w:sz w:val="14"/>
                <w:szCs w:val="14"/>
              </w:rPr>
            </w:pPr>
          </w:p>
        </w:tc>
        <w:tc>
          <w:tcPr>
            <w:tcW w:w="615" w:type="dxa"/>
          </w:tcPr>
          <w:p w14:paraId="51B78D9B">
            <w:pPr>
              <w:pStyle w:val="55"/>
              <w:rPr>
                <w:sz w:val="14"/>
                <w:szCs w:val="14"/>
              </w:rPr>
            </w:pPr>
          </w:p>
        </w:tc>
        <w:tc>
          <w:tcPr>
            <w:tcW w:w="615" w:type="dxa"/>
          </w:tcPr>
          <w:p w14:paraId="09C04163">
            <w:pPr>
              <w:pStyle w:val="55"/>
              <w:rPr>
                <w:sz w:val="14"/>
                <w:szCs w:val="14"/>
              </w:rPr>
            </w:pPr>
          </w:p>
        </w:tc>
      </w:tr>
      <w:tr w14:paraId="7D75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696" w:type="dxa"/>
          </w:tcPr>
          <w:p w14:paraId="22F13CE1">
            <w:pPr>
              <w:pStyle w:val="54"/>
              <w:rPr>
                <w:sz w:val="14"/>
                <w:szCs w:val="14"/>
              </w:rPr>
            </w:pPr>
            <w:r>
              <w:rPr>
                <w:sz w:val="14"/>
                <w:szCs w:val="14"/>
              </w:rPr>
              <w:t xml:space="preserve">#3 </w:t>
            </w:r>
          </w:p>
        </w:tc>
        <w:tc>
          <w:tcPr>
            <w:tcW w:w="567" w:type="dxa"/>
          </w:tcPr>
          <w:p w14:paraId="1BB93D83">
            <w:pPr>
              <w:pStyle w:val="55"/>
              <w:rPr>
                <w:sz w:val="14"/>
                <w:szCs w:val="14"/>
              </w:rPr>
            </w:pPr>
          </w:p>
        </w:tc>
        <w:tc>
          <w:tcPr>
            <w:tcW w:w="351" w:type="dxa"/>
          </w:tcPr>
          <w:p w14:paraId="2C797FCA">
            <w:pPr>
              <w:pStyle w:val="55"/>
              <w:rPr>
                <w:sz w:val="14"/>
                <w:szCs w:val="14"/>
              </w:rPr>
            </w:pPr>
          </w:p>
        </w:tc>
        <w:tc>
          <w:tcPr>
            <w:tcW w:w="542" w:type="dxa"/>
          </w:tcPr>
          <w:p w14:paraId="4C2840DF">
            <w:pPr>
              <w:pStyle w:val="55"/>
              <w:rPr>
                <w:sz w:val="14"/>
                <w:szCs w:val="14"/>
              </w:rPr>
            </w:pPr>
          </w:p>
        </w:tc>
        <w:tc>
          <w:tcPr>
            <w:tcW w:w="544" w:type="dxa"/>
          </w:tcPr>
          <w:p w14:paraId="3F4D98B5">
            <w:pPr>
              <w:pStyle w:val="55"/>
              <w:rPr>
                <w:sz w:val="14"/>
                <w:szCs w:val="14"/>
              </w:rPr>
            </w:pPr>
          </w:p>
        </w:tc>
        <w:tc>
          <w:tcPr>
            <w:tcW w:w="544" w:type="dxa"/>
          </w:tcPr>
          <w:p w14:paraId="1EE82E99">
            <w:pPr>
              <w:pStyle w:val="55"/>
              <w:rPr>
                <w:sz w:val="14"/>
                <w:szCs w:val="14"/>
              </w:rPr>
            </w:pPr>
          </w:p>
        </w:tc>
        <w:tc>
          <w:tcPr>
            <w:tcW w:w="544" w:type="dxa"/>
          </w:tcPr>
          <w:p w14:paraId="4C506B10">
            <w:pPr>
              <w:pStyle w:val="55"/>
              <w:rPr>
                <w:sz w:val="14"/>
                <w:szCs w:val="14"/>
              </w:rPr>
            </w:pPr>
          </w:p>
        </w:tc>
        <w:tc>
          <w:tcPr>
            <w:tcW w:w="544" w:type="dxa"/>
          </w:tcPr>
          <w:p w14:paraId="44282997">
            <w:pPr>
              <w:pStyle w:val="55"/>
              <w:rPr>
                <w:sz w:val="14"/>
                <w:szCs w:val="14"/>
              </w:rPr>
            </w:pPr>
          </w:p>
        </w:tc>
        <w:tc>
          <w:tcPr>
            <w:tcW w:w="544" w:type="dxa"/>
          </w:tcPr>
          <w:p w14:paraId="53D06B75">
            <w:pPr>
              <w:pStyle w:val="55"/>
              <w:rPr>
                <w:sz w:val="14"/>
                <w:szCs w:val="14"/>
              </w:rPr>
            </w:pPr>
          </w:p>
        </w:tc>
        <w:tc>
          <w:tcPr>
            <w:tcW w:w="544" w:type="dxa"/>
          </w:tcPr>
          <w:p w14:paraId="7DB74D07">
            <w:pPr>
              <w:pStyle w:val="55"/>
              <w:rPr>
                <w:sz w:val="14"/>
                <w:szCs w:val="14"/>
              </w:rPr>
            </w:pPr>
          </w:p>
        </w:tc>
        <w:tc>
          <w:tcPr>
            <w:tcW w:w="615" w:type="dxa"/>
          </w:tcPr>
          <w:p w14:paraId="7C130A76">
            <w:pPr>
              <w:pStyle w:val="55"/>
              <w:rPr>
                <w:sz w:val="14"/>
                <w:szCs w:val="14"/>
              </w:rPr>
            </w:pPr>
          </w:p>
        </w:tc>
        <w:tc>
          <w:tcPr>
            <w:tcW w:w="615" w:type="dxa"/>
          </w:tcPr>
          <w:p w14:paraId="01855A11">
            <w:pPr>
              <w:pStyle w:val="55"/>
              <w:rPr>
                <w:sz w:val="14"/>
                <w:szCs w:val="14"/>
              </w:rPr>
            </w:pPr>
          </w:p>
        </w:tc>
        <w:tc>
          <w:tcPr>
            <w:tcW w:w="615" w:type="dxa"/>
          </w:tcPr>
          <w:p w14:paraId="73DCE1C4">
            <w:pPr>
              <w:pStyle w:val="55"/>
              <w:rPr>
                <w:sz w:val="14"/>
                <w:szCs w:val="14"/>
              </w:rPr>
            </w:pPr>
          </w:p>
        </w:tc>
        <w:tc>
          <w:tcPr>
            <w:tcW w:w="615" w:type="dxa"/>
          </w:tcPr>
          <w:p w14:paraId="7BCE00C1">
            <w:pPr>
              <w:pStyle w:val="55"/>
              <w:rPr>
                <w:sz w:val="14"/>
                <w:szCs w:val="14"/>
              </w:rPr>
            </w:pPr>
          </w:p>
        </w:tc>
        <w:tc>
          <w:tcPr>
            <w:tcW w:w="615" w:type="dxa"/>
          </w:tcPr>
          <w:p w14:paraId="28FFEEB7">
            <w:pPr>
              <w:pStyle w:val="55"/>
              <w:rPr>
                <w:sz w:val="14"/>
                <w:szCs w:val="14"/>
              </w:rPr>
            </w:pPr>
          </w:p>
        </w:tc>
      </w:tr>
    </w:tbl>
    <w:p w14:paraId="267C01D8"/>
    <w:p w14:paraId="7E5F91B5">
      <w:pPr>
        <w:pStyle w:val="2"/>
      </w:pPr>
      <w:r>
        <w:t>A.2</w:t>
      </w:r>
      <w:r>
        <w:tab/>
      </w:r>
      <w:r>
        <w:t>Mapping between Key Issues and Solutions</w:t>
      </w:r>
    </w:p>
    <w:p w14:paraId="3365CF94">
      <w:pPr>
        <w:pStyle w:val="58"/>
        <w:rPr>
          <w:rFonts w:eastAsiaTheme="minorEastAsia"/>
        </w:rPr>
      </w:pPr>
      <w:r>
        <w:rPr>
          <w:rFonts w:eastAsiaTheme="minorEastAsia"/>
        </w:rPr>
        <w:t>Table A.3-1: Mapping of Solutions to Key Issues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14:paraId="1934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restart"/>
            <w:tcBorders>
              <w:top w:val="single" w:color="auto" w:sz="4" w:space="0"/>
              <w:left w:val="single" w:color="auto" w:sz="4" w:space="0"/>
              <w:right w:val="single" w:color="auto" w:sz="4" w:space="0"/>
            </w:tcBorders>
          </w:tcPr>
          <w:p w14:paraId="63D9404C">
            <w:pPr>
              <w:pStyle w:val="54"/>
              <w:rPr>
                <w:rFonts w:eastAsia="等线"/>
                <w:lang w:eastAsia="zh-CN"/>
              </w:rPr>
            </w:pPr>
            <w:r>
              <w:rPr>
                <w:rFonts w:eastAsia="等线"/>
                <w:lang w:eastAsia="zh-CN"/>
              </w:rPr>
              <w:t>Solutions</w:t>
            </w:r>
          </w:p>
        </w:tc>
        <w:tc>
          <w:tcPr>
            <w:tcW w:w="8593" w:type="dxa"/>
            <w:gridSpan w:val="19"/>
            <w:tcBorders>
              <w:top w:val="single" w:color="auto" w:sz="4" w:space="0"/>
              <w:left w:val="single" w:color="auto" w:sz="4" w:space="0"/>
              <w:bottom w:val="single" w:color="auto" w:sz="4" w:space="0"/>
              <w:right w:val="single" w:color="auto" w:sz="4" w:space="0"/>
            </w:tcBorders>
          </w:tcPr>
          <w:p w14:paraId="20849427">
            <w:pPr>
              <w:pStyle w:val="54"/>
              <w:rPr>
                <w:rFonts w:eastAsia="等线"/>
                <w:lang w:eastAsia="zh-CN"/>
              </w:rPr>
            </w:pPr>
            <w:r>
              <w:rPr>
                <w:rFonts w:eastAsia="等线"/>
                <w:lang w:eastAsia="zh-CN"/>
              </w:rPr>
              <w:t>Key Issues</w:t>
            </w:r>
          </w:p>
        </w:tc>
      </w:tr>
      <w:tr w14:paraId="5A18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continue"/>
            <w:tcBorders>
              <w:left w:val="single" w:color="auto" w:sz="4" w:space="0"/>
              <w:bottom w:val="single" w:color="auto" w:sz="4" w:space="0"/>
              <w:right w:val="single" w:color="auto" w:sz="4" w:space="0"/>
            </w:tcBorders>
          </w:tcPr>
          <w:p w14:paraId="0B9D480B">
            <w:pPr>
              <w:pStyle w:val="54"/>
              <w:rPr>
                <w:rFonts w:eastAsia="等线"/>
                <w:lang w:eastAsia="zh-CN"/>
              </w:rPr>
            </w:pPr>
          </w:p>
        </w:tc>
        <w:tc>
          <w:tcPr>
            <w:tcW w:w="787" w:type="dxa"/>
            <w:tcBorders>
              <w:top w:val="single" w:color="auto" w:sz="4" w:space="0"/>
              <w:left w:val="single" w:color="auto" w:sz="4" w:space="0"/>
              <w:bottom w:val="single" w:color="auto" w:sz="4" w:space="0"/>
              <w:right w:val="single" w:color="auto" w:sz="4" w:space="0"/>
            </w:tcBorders>
          </w:tcPr>
          <w:p w14:paraId="2BE17449">
            <w:pPr>
              <w:pStyle w:val="54"/>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14:paraId="0336E765">
            <w:pPr>
              <w:pStyle w:val="54"/>
              <w:rPr>
                <w:rFonts w:eastAsia="等线"/>
                <w:lang w:eastAsia="zh-CN"/>
              </w:rPr>
            </w:pPr>
            <w:r>
              <w:rPr>
                <w:rFonts w:eastAsia="等线"/>
                <w:lang w:eastAsia="zh-CN"/>
              </w:rPr>
              <w:t>#Q</w:t>
            </w:r>
          </w:p>
        </w:tc>
        <w:tc>
          <w:tcPr>
            <w:tcW w:w="430" w:type="dxa"/>
            <w:tcBorders>
              <w:top w:val="single" w:color="auto" w:sz="4" w:space="0"/>
              <w:left w:val="single" w:color="auto" w:sz="4" w:space="0"/>
              <w:bottom w:val="single" w:color="auto" w:sz="4" w:space="0"/>
              <w:right w:val="single" w:color="auto" w:sz="4" w:space="0"/>
            </w:tcBorders>
          </w:tcPr>
          <w:p w14:paraId="6C57BD1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FF2747">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2B79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E9B06BD">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5E2812">
            <w:pPr>
              <w:pStyle w:val="54"/>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73342935">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31DBB09">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D0796">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38CBA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AE8939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71DE5E">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6C9AF0">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F80940B">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BC664D">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AD7EEC">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AEB139A">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75BDC21">
            <w:pPr>
              <w:pStyle w:val="54"/>
              <w:rPr>
                <w:rFonts w:eastAsia="等线"/>
                <w:lang w:eastAsia="zh-CN"/>
              </w:rPr>
            </w:pPr>
          </w:p>
        </w:tc>
      </w:tr>
      <w:tr w14:paraId="3CB6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EF28CF9">
            <w:pPr>
              <w:pStyle w:val="54"/>
              <w:rPr>
                <w:rFonts w:eastAsia="等线"/>
                <w:lang w:eastAsia="zh-CN"/>
              </w:rPr>
            </w:pPr>
            <w:r>
              <w:rPr>
                <w:rFonts w:eastAsia="等线"/>
                <w:lang w:eastAsia="zh-CN"/>
              </w:rPr>
              <w:t>#X</w:t>
            </w:r>
          </w:p>
        </w:tc>
        <w:tc>
          <w:tcPr>
            <w:tcW w:w="787" w:type="dxa"/>
            <w:tcBorders>
              <w:top w:val="single" w:color="auto" w:sz="4" w:space="0"/>
              <w:left w:val="single" w:color="auto" w:sz="4" w:space="0"/>
              <w:bottom w:val="single" w:color="auto" w:sz="4" w:space="0"/>
              <w:right w:val="single" w:color="auto" w:sz="4" w:space="0"/>
            </w:tcBorders>
          </w:tcPr>
          <w:p w14:paraId="3A171F66">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41C581C">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6E6CEBA8">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982CA">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33B7BD7">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0AB5A1">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1E6C91D">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3DBE3F7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95A1A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567734F">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CBF904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0E503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27AA0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B22E1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9F5C5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AA60E4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F7DCA9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D23A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71B486C">
            <w:pPr>
              <w:pStyle w:val="55"/>
              <w:rPr>
                <w:rFonts w:eastAsia="等线"/>
                <w:lang w:eastAsia="zh-CN"/>
              </w:rPr>
            </w:pPr>
          </w:p>
        </w:tc>
      </w:tr>
      <w:tr w14:paraId="4DB3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19FD8F1">
            <w:pPr>
              <w:pStyle w:val="54"/>
              <w:rPr>
                <w:rFonts w:eastAsia="等线"/>
                <w:lang w:eastAsia="zh-CN"/>
              </w:rPr>
            </w:pPr>
            <w:r>
              <w:rPr>
                <w:rFonts w:eastAsia="等线"/>
                <w:lang w:eastAsia="zh-CN"/>
              </w:rPr>
              <w:t>#Y</w:t>
            </w:r>
          </w:p>
        </w:tc>
        <w:tc>
          <w:tcPr>
            <w:tcW w:w="787" w:type="dxa"/>
            <w:tcBorders>
              <w:top w:val="single" w:color="auto" w:sz="4" w:space="0"/>
              <w:left w:val="single" w:color="auto" w:sz="4" w:space="0"/>
              <w:bottom w:val="single" w:color="auto" w:sz="4" w:space="0"/>
              <w:right w:val="single" w:color="auto" w:sz="4" w:space="0"/>
            </w:tcBorders>
          </w:tcPr>
          <w:p w14:paraId="5C526400">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5FD334A8">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4497F702">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4EBE9BC">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9729B40">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BACACD">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5031189">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1C4806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A7DA0E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931A2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5E752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C0205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5A4BF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53B04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19E4EC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4066E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EB7AFFD">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E7461E">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E79B221">
            <w:pPr>
              <w:pStyle w:val="55"/>
              <w:rPr>
                <w:rFonts w:eastAsia="等线"/>
                <w:lang w:eastAsia="zh-CN"/>
              </w:rPr>
            </w:pPr>
          </w:p>
        </w:tc>
      </w:tr>
    </w:tbl>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1FD2"/>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91193"/>
    <w:rsid w:val="02034E23"/>
    <w:rsid w:val="021B0EF2"/>
    <w:rsid w:val="02341E39"/>
    <w:rsid w:val="027A76EE"/>
    <w:rsid w:val="02C34085"/>
    <w:rsid w:val="02FC1AC3"/>
    <w:rsid w:val="03E66A74"/>
    <w:rsid w:val="0458580D"/>
    <w:rsid w:val="04CD3654"/>
    <w:rsid w:val="04E92909"/>
    <w:rsid w:val="057E2330"/>
    <w:rsid w:val="06352E28"/>
    <w:rsid w:val="07B53F8A"/>
    <w:rsid w:val="084D5F4D"/>
    <w:rsid w:val="088E0696"/>
    <w:rsid w:val="08B63DD9"/>
    <w:rsid w:val="08CA4C78"/>
    <w:rsid w:val="08DD4B2A"/>
    <w:rsid w:val="09246501"/>
    <w:rsid w:val="09575C4D"/>
    <w:rsid w:val="09993220"/>
    <w:rsid w:val="09A8018A"/>
    <w:rsid w:val="0A2569C5"/>
    <w:rsid w:val="0A4A6F54"/>
    <w:rsid w:val="0B17311C"/>
    <w:rsid w:val="0B250BAE"/>
    <w:rsid w:val="0B8F0122"/>
    <w:rsid w:val="0BA076AD"/>
    <w:rsid w:val="0BC70F46"/>
    <w:rsid w:val="0BCD5941"/>
    <w:rsid w:val="0C2F4091"/>
    <w:rsid w:val="0D003464"/>
    <w:rsid w:val="0D576FA9"/>
    <w:rsid w:val="0DEB68E4"/>
    <w:rsid w:val="0DF86616"/>
    <w:rsid w:val="0E041A0C"/>
    <w:rsid w:val="0E062050"/>
    <w:rsid w:val="0E3746E5"/>
    <w:rsid w:val="0EB96FB0"/>
    <w:rsid w:val="0ED07E5C"/>
    <w:rsid w:val="0F044E32"/>
    <w:rsid w:val="0F4A5BA4"/>
    <w:rsid w:val="0FE148D9"/>
    <w:rsid w:val="0FF77685"/>
    <w:rsid w:val="101D7AFE"/>
    <w:rsid w:val="1054295F"/>
    <w:rsid w:val="106A208B"/>
    <w:rsid w:val="107A1F72"/>
    <w:rsid w:val="1090155C"/>
    <w:rsid w:val="112E6EBB"/>
    <w:rsid w:val="118956E7"/>
    <w:rsid w:val="11B24841"/>
    <w:rsid w:val="11EC522D"/>
    <w:rsid w:val="11F70688"/>
    <w:rsid w:val="12394975"/>
    <w:rsid w:val="1295728D"/>
    <w:rsid w:val="1332191F"/>
    <w:rsid w:val="136C791C"/>
    <w:rsid w:val="13725976"/>
    <w:rsid w:val="1373053C"/>
    <w:rsid w:val="13A670CA"/>
    <w:rsid w:val="14A26281"/>
    <w:rsid w:val="15024C97"/>
    <w:rsid w:val="153041A6"/>
    <w:rsid w:val="15523360"/>
    <w:rsid w:val="15A00DC2"/>
    <w:rsid w:val="16AA4D6D"/>
    <w:rsid w:val="17221443"/>
    <w:rsid w:val="177E21A4"/>
    <w:rsid w:val="17CC31F4"/>
    <w:rsid w:val="17DD0A7A"/>
    <w:rsid w:val="18CE6E17"/>
    <w:rsid w:val="195F7C30"/>
    <w:rsid w:val="1968609A"/>
    <w:rsid w:val="198E19EC"/>
    <w:rsid w:val="19F5000A"/>
    <w:rsid w:val="1A0D324C"/>
    <w:rsid w:val="1B2B6D55"/>
    <w:rsid w:val="1B495788"/>
    <w:rsid w:val="1BDB2542"/>
    <w:rsid w:val="1BF451CD"/>
    <w:rsid w:val="1C091D8D"/>
    <w:rsid w:val="1C4F52EF"/>
    <w:rsid w:val="1CBD3C6A"/>
    <w:rsid w:val="1CF57A8F"/>
    <w:rsid w:val="1D222970"/>
    <w:rsid w:val="1D756C35"/>
    <w:rsid w:val="1D806164"/>
    <w:rsid w:val="1D854F62"/>
    <w:rsid w:val="1D8E0577"/>
    <w:rsid w:val="1E1B2A71"/>
    <w:rsid w:val="1E72493D"/>
    <w:rsid w:val="1E7A4110"/>
    <w:rsid w:val="1E8B62E2"/>
    <w:rsid w:val="1E9D1640"/>
    <w:rsid w:val="1EF83782"/>
    <w:rsid w:val="1F0771F7"/>
    <w:rsid w:val="1F212DDF"/>
    <w:rsid w:val="1FD72DA6"/>
    <w:rsid w:val="1FF535FC"/>
    <w:rsid w:val="20016E9F"/>
    <w:rsid w:val="207728D1"/>
    <w:rsid w:val="20D234E6"/>
    <w:rsid w:val="20EA1769"/>
    <w:rsid w:val="2124626D"/>
    <w:rsid w:val="216827F1"/>
    <w:rsid w:val="21B6105F"/>
    <w:rsid w:val="22213365"/>
    <w:rsid w:val="232E1307"/>
    <w:rsid w:val="237F470C"/>
    <w:rsid w:val="2414790C"/>
    <w:rsid w:val="247B506A"/>
    <w:rsid w:val="24950333"/>
    <w:rsid w:val="262C38EB"/>
    <w:rsid w:val="2690611C"/>
    <w:rsid w:val="26AF453E"/>
    <w:rsid w:val="26B12C2C"/>
    <w:rsid w:val="26B63CA1"/>
    <w:rsid w:val="26F61EFB"/>
    <w:rsid w:val="27435A51"/>
    <w:rsid w:val="27747CB6"/>
    <w:rsid w:val="27775CC4"/>
    <w:rsid w:val="279C5438"/>
    <w:rsid w:val="27A20A97"/>
    <w:rsid w:val="289406A2"/>
    <w:rsid w:val="290E23A4"/>
    <w:rsid w:val="294A397A"/>
    <w:rsid w:val="298F3DBD"/>
    <w:rsid w:val="29975559"/>
    <w:rsid w:val="29ED4157"/>
    <w:rsid w:val="29FB5DB9"/>
    <w:rsid w:val="2A574444"/>
    <w:rsid w:val="2AA24C88"/>
    <w:rsid w:val="2B044D71"/>
    <w:rsid w:val="2B1E12BC"/>
    <w:rsid w:val="2B225799"/>
    <w:rsid w:val="2B4F7D3E"/>
    <w:rsid w:val="2B552424"/>
    <w:rsid w:val="2BBB56F6"/>
    <w:rsid w:val="2C5A1CD2"/>
    <w:rsid w:val="2C602447"/>
    <w:rsid w:val="2C9A34F8"/>
    <w:rsid w:val="2CFD6DC0"/>
    <w:rsid w:val="2D303EC8"/>
    <w:rsid w:val="2D382D71"/>
    <w:rsid w:val="2E13000A"/>
    <w:rsid w:val="2E1B70E9"/>
    <w:rsid w:val="2E32151A"/>
    <w:rsid w:val="2E517468"/>
    <w:rsid w:val="2F171C9D"/>
    <w:rsid w:val="2F3F6D74"/>
    <w:rsid w:val="2F4A23A5"/>
    <w:rsid w:val="30340BF5"/>
    <w:rsid w:val="304D1306"/>
    <w:rsid w:val="308333A6"/>
    <w:rsid w:val="31045716"/>
    <w:rsid w:val="317C5C8C"/>
    <w:rsid w:val="31837ABD"/>
    <w:rsid w:val="318F7BD4"/>
    <w:rsid w:val="31C439B2"/>
    <w:rsid w:val="321C75E9"/>
    <w:rsid w:val="327C0C9B"/>
    <w:rsid w:val="347325C0"/>
    <w:rsid w:val="349E40E0"/>
    <w:rsid w:val="34AC731F"/>
    <w:rsid w:val="34B064B9"/>
    <w:rsid w:val="34E53962"/>
    <w:rsid w:val="351C27B0"/>
    <w:rsid w:val="352C3FC8"/>
    <w:rsid w:val="354A0A39"/>
    <w:rsid w:val="357069B7"/>
    <w:rsid w:val="35824E60"/>
    <w:rsid w:val="360A0D3D"/>
    <w:rsid w:val="36E51995"/>
    <w:rsid w:val="37086AD8"/>
    <w:rsid w:val="37266088"/>
    <w:rsid w:val="374B1CF6"/>
    <w:rsid w:val="3764396F"/>
    <w:rsid w:val="379A05C5"/>
    <w:rsid w:val="37F479DA"/>
    <w:rsid w:val="38026CF0"/>
    <w:rsid w:val="382628BA"/>
    <w:rsid w:val="38C116AD"/>
    <w:rsid w:val="38EF5674"/>
    <w:rsid w:val="393E0C76"/>
    <w:rsid w:val="39D6666B"/>
    <w:rsid w:val="39E12011"/>
    <w:rsid w:val="3A6724BC"/>
    <w:rsid w:val="3A751FF8"/>
    <w:rsid w:val="3ABC7B9C"/>
    <w:rsid w:val="3ADF083A"/>
    <w:rsid w:val="3B1B48C3"/>
    <w:rsid w:val="3B344A3C"/>
    <w:rsid w:val="3B555A2E"/>
    <w:rsid w:val="3B5F0C53"/>
    <w:rsid w:val="3BE23632"/>
    <w:rsid w:val="3C66685A"/>
    <w:rsid w:val="3C75071A"/>
    <w:rsid w:val="3CE73FFB"/>
    <w:rsid w:val="3CEA3F3E"/>
    <w:rsid w:val="3D1141A0"/>
    <w:rsid w:val="3D4C5F1D"/>
    <w:rsid w:val="3D9D02A6"/>
    <w:rsid w:val="3E1A79F2"/>
    <w:rsid w:val="3EC20000"/>
    <w:rsid w:val="3F246E28"/>
    <w:rsid w:val="3F2665DB"/>
    <w:rsid w:val="3F855340"/>
    <w:rsid w:val="3FA6711C"/>
    <w:rsid w:val="3FB84DD6"/>
    <w:rsid w:val="40F62955"/>
    <w:rsid w:val="41A832C4"/>
    <w:rsid w:val="41B4781F"/>
    <w:rsid w:val="42406AE6"/>
    <w:rsid w:val="429D0359"/>
    <w:rsid w:val="44126C12"/>
    <w:rsid w:val="44AD6911"/>
    <w:rsid w:val="454937BA"/>
    <w:rsid w:val="4564347D"/>
    <w:rsid w:val="456C1863"/>
    <w:rsid w:val="45C72144"/>
    <w:rsid w:val="45E45D6C"/>
    <w:rsid w:val="4603066A"/>
    <w:rsid w:val="46942157"/>
    <w:rsid w:val="46F53476"/>
    <w:rsid w:val="472707CD"/>
    <w:rsid w:val="47412287"/>
    <w:rsid w:val="475B1994"/>
    <w:rsid w:val="47800E5B"/>
    <w:rsid w:val="47CD093E"/>
    <w:rsid w:val="481E765C"/>
    <w:rsid w:val="48AE6D76"/>
    <w:rsid w:val="48B732C5"/>
    <w:rsid w:val="48FB1A87"/>
    <w:rsid w:val="494278AB"/>
    <w:rsid w:val="49635A3D"/>
    <w:rsid w:val="4A6F152E"/>
    <w:rsid w:val="4A8C7838"/>
    <w:rsid w:val="4ABD76A3"/>
    <w:rsid w:val="4B451499"/>
    <w:rsid w:val="4BD56877"/>
    <w:rsid w:val="4C143DDD"/>
    <w:rsid w:val="4CAB258D"/>
    <w:rsid w:val="4CB074DF"/>
    <w:rsid w:val="4CDB5DA5"/>
    <w:rsid w:val="4D23575F"/>
    <w:rsid w:val="4D2F3A60"/>
    <w:rsid w:val="4D834470"/>
    <w:rsid w:val="4D8D144B"/>
    <w:rsid w:val="4DA954F8"/>
    <w:rsid w:val="4DC849DA"/>
    <w:rsid w:val="4F391765"/>
    <w:rsid w:val="4F45257C"/>
    <w:rsid w:val="4F6B78DB"/>
    <w:rsid w:val="4FE528A4"/>
    <w:rsid w:val="500A39DE"/>
    <w:rsid w:val="50901457"/>
    <w:rsid w:val="50B15470"/>
    <w:rsid w:val="50DB3AEE"/>
    <w:rsid w:val="50F814D6"/>
    <w:rsid w:val="513F61A5"/>
    <w:rsid w:val="52151C14"/>
    <w:rsid w:val="52B85BC6"/>
    <w:rsid w:val="52DC127D"/>
    <w:rsid w:val="534F3992"/>
    <w:rsid w:val="535A0236"/>
    <w:rsid w:val="54A93EEB"/>
    <w:rsid w:val="54F85E13"/>
    <w:rsid w:val="550259DF"/>
    <w:rsid w:val="55AF2A84"/>
    <w:rsid w:val="56635347"/>
    <w:rsid w:val="56E53CCF"/>
    <w:rsid w:val="577B33D6"/>
    <w:rsid w:val="57A85FDD"/>
    <w:rsid w:val="57D4604C"/>
    <w:rsid w:val="583E1753"/>
    <w:rsid w:val="584026D9"/>
    <w:rsid w:val="58547A61"/>
    <w:rsid w:val="58CE3242"/>
    <w:rsid w:val="58F94086"/>
    <w:rsid w:val="59514F24"/>
    <w:rsid w:val="5A006E37"/>
    <w:rsid w:val="5C1E54E6"/>
    <w:rsid w:val="5C465896"/>
    <w:rsid w:val="5C5656FB"/>
    <w:rsid w:val="5C575ECB"/>
    <w:rsid w:val="5C9759FE"/>
    <w:rsid w:val="5CE7687A"/>
    <w:rsid w:val="5DDE1391"/>
    <w:rsid w:val="5DDF358F"/>
    <w:rsid w:val="5E3F3F3F"/>
    <w:rsid w:val="5E6D2A13"/>
    <w:rsid w:val="5ED26F4F"/>
    <w:rsid w:val="5ED42A73"/>
    <w:rsid w:val="5F925B11"/>
    <w:rsid w:val="5FB707AE"/>
    <w:rsid w:val="5FF92B75"/>
    <w:rsid w:val="60526897"/>
    <w:rsid w:val="60CF4A66"/>
    <w:rsid w:val="612D3C7B"/>
    <w:rsid w:val="616F244D"/>
    <w:rsid w:val="61765028"/>
    <w:rsid w:val="622B1C79"/>
    <w:rsid w:val="624E0F13"/>
    <w:rsid w:val="62F92F29"/>
    <w:rsid w:val="63175A08"/>
    <w:rsid w:val="634C17BE"/>
    <w:rsid w:val="635F570D"/>
    <w:rsid w:val="63FE731D"/>
    <w:rsid w:val="640D4E41"/>
    <w:rsid w:val="64400562"/>
    <w:rsid w:val="645268DD"/>
    <w:rsid w:val="64555BC0"/>
    <w:rsid w:val="64E50514"/>
    <w:rsid w:val="650006E3"/>
    <w:rsid w:val="6607602D"/>
    <w:rsid w:val="661C6EBD"/>
    <w:rsid w:val="661F0E5C"/>
    <w:rsid w:val="667154C6"/>
    <w:rsid w:val="66C45526"/>
    <w:rsid w:val="66D457C1"/>
    <w:rsid w:val="66DF73D5"/>
    <w:rsid w:val="66F74A7C"/>
    <w:rsid w:val="674C151B"/>
    <w:rsid w:val="676705B3"/>
    <w:rsid w:val="67D0240D"/>
    <w:rsid w:val="67F25F98"/>
    <w:rsid w:val="680B7554"/>
    <w:rsid w:val="680F7AC7"/>
    <w:rsid w:val="681364CD"/>
    <w:rsid w:val="682341A6"/>
    <w:rsid w:val="683226F9"/>
    <w:rsid w:val="68380F62"/>
    <w:rsid w:val="68425464"/>
    <w:rsid w:val="68745F2D"/>
    <w:rsid w:val="68AF601C"/>
    <w:rsid w:val="691B590A"/>
    <w:rsid w:val="69212E07"/>
    <w:rsid w:val="69393D31"/>
    <w:rsid w:val="69424D99"/>
    <w:rsid w:val="69586B2A"/>
    <w:rsid w:val="698450AA"/>
    <w:rsid w:val="69F273EE"/>
    <w:rsid w:val="69FF685E"/>
    <w:rsid w:val="6A16241A"/>
    <w:rsid w:val="6A2349DC"/>
    <w:rsid w:val="6A2F5543"/>
    <w:rsid w:val="6A667C1B"/>
    <w:rsid w:val="6AA50A05"/>
    <w:rsid w:val="6AF44007"/>
    <w:rsid w:val="6B667481"/>
    <w:rsid w:val="6BE50B5D"/>
    <w:rsid w:val="6BFA622B"/>
    <w:rsid w:val="6C7F49DE"/>
    <w:rsid w:val="6CAE6026"/>
    <w:rsid w:val="6CC22A42"/>
    <w:rsid w:val="6D154D66"/>
    <w:rsid w:val="6D717E9F"/>
    <w:rsid w:val="6E41530E"/>
    <w:rsid w:val="6E8822D0"/>
    <w:rsid w:val="6F131548"/>
    <w:rsid w:val="6FC80329"/>
    <w:rsid w:val="70147557"/>
    <w:rsid w:val="70CA25C0"/>
    <w:rsid w:val="711815B5"/>
    <w:rsid w:val="718501AF"/>
    <w:rsid w:val="719B56EF"/>
    <w:rsid w:val="71D85554"/>
    <w:rsid w:val="71EE645F"/>
    <w:rsid w:val="72432714"/>
    <w:rsid w:val="72565E22"/>
    <w:rsid w:val="726C028A"/>
    <w:rsid w:val="727A2A79"/>
    <w:rsid w:val="72A24EE4"/>
    <w:rsid w:val="72AA7CFF"/>
    <w:rsid w:val="738F7283"/>
    <w:rsid w:val="739F4EC0"/>
    <w:rsid w:val="73F84155"/>
    <w:rsid w:val="73FE3C1B"/>
    <w:rsid w:val="7450169B"/>
    <w:rsid w:val="74D61027"/>
    <w:rsid w:val="74DE6B13"/>
    <w:rsid w:val="74E4243A"/>
    <w:rsid w:val="74F6076D"/>
    <w:rsid w:val="75C06B19"/>
    <w:rsid w:val="76091AB6"/>
    <w:rsid w:val="765353AD"/>
    <w:rsid w:val="769E5A34"/>
    <w:rsid w:val="76CB1D9E"/>
    <w:rsid w:val="76DC2836"/>
    <w:rsid w:val="76F667DF"/>
    <w:rsid w:val="77000D49"/>
    <w:rsid w:val="77114A0B"/>
    <w:rsid w:val="7728668A"/>
    <w:rsid w:val="77C35AEB"/>
    <w:rsid w:val="77D36B23"/>
    <w:rsid w:val="782557BB"/>
    <w:rsid w:val="78693C6D"/>
    <w:rsid w:val="78F64351"/>
    <w:rsid w:val="79317DBC"/>
    <w:rsid w:val="798110B1"/>
    <w:rsid w:val="79B64C9F"/>
    <w:rsid w:val="79E14685"/>
    <w:rsid w:val="79EA0F1A"/>
    <w:rsid w:val="7A0177CE"/>
    <w:rsid w:val="7A3E6F9D"/>
    <w:rsid w:val="7A576F7D"/>
    <w:rsid w:val="7AB75F2D"/>
    <w:rsid w:val="7B492B25"/>
    <w:rsid w:val="7B523A2D"/>
    <w:rsid w:val="7B5D0D24"/>
    <w:rsid w:val="7BA07DAA"/>
    <w:rsid w:val="7BB6521A"/>
    <w:rsid w:val="7C05637D"/>
    <w:rsid w:val="7C5867DC"/>
    <w:rsid w:val="7C792C12"/>
    <w:rsid w:val="7C811F23"/>
    <w:rsid w:val="7CEA2CFB"/>
    <w:rsid w:val="7CEC6317"/>
    <w:rsid w:val="7D8A0903"/>
    <w:rsid w:val="7D8F476B"/>
    <w:rsid w:val="7DB139A6"/>
    <w:rsid w:val="7DB71466"/>
    <w:rsid w:val="7DF76D39"/>
    <w:rsid w:val="7E2D723B"/>
    <w:rsid w:val="7E851E42"/>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Date"/>
    <w:basedOn w:val="1"/>
    <w:next w:val="1"/>
    <w:link w:val="96"/>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Editor's Note Char"/>
    <w:link w:val="76"/>
    <w:qFormat/>
    <w:locked/>
    <w:uiPriority w:val="0"/>
    <w:rPr>
      <w:rFonts w:ascii="Times New Roman" w:hAnsi="Times New Roman"/>
      <w:color w:val="FF0000"/>
      <w:lang w:eastAsia="en-US"/>
    </w:rPr>
  </w:style>
  <w:style w:type="character" w:customStyle="1" w:styleId="91">
    <w:name w:val="Subtle Emphasis"/>
    <w:qFormat/>
    <w:uiPriority w:val="19"/>
    <w:rPr>
      <w:i/>
      <w:iCs/>
      <w:color w:val="404040"/>
    </w:rPr>
  </w:style>
  <w:style w:type="character" w:customStyle="1" w:styleId="92">
    <w:name w:val="Comment Text Char"/>
    <w:basedOn w:val="45"/>
    <w:link w:val="29"/>
    <w:semiHidden/>
    <w:qFormat/>
    <w:uiPriority w:val="99"/>
    <w:rPr>
      <w:rFonts w:ascii="Times New Roman" w:hAnsi="Times New Roman"/>
      <w:lang w:eastAsia="en-US"/>
    </w:rPr>
  </w:style>
  <w:style w:type="paragraph" w:styleId="93">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4">
    <w:name w:val="TAH Car"/>
    <w:qFormat/>
    <w:uiPriority w:val="0"/>
    <w:rPr>
      <w:rFonts w:ascii="Arial" w:hAnsi="Arial" w:eastAsia="Times New Roman"/>
      <w:b/>
      <w:sz w:val="18"/>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14</Pages>
  <Words>5412</Words>
  <Characters>35477</Characters>
  <Lines>24</Lines>
  <Paragraphs>6</Paragraphs>
  <TotalTime>13</TotalTime>
  <ScaleCrop>false</ScaleCrop>
  <LinksUpToDate>false</LinksUpToDate>
  <CharactersWithSpaces>40682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2026-01-29T06:24:04Z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CC3A137E5BB6416DA07345303B8DFEDE_13</vt:lpwstr>
  </property>
  <property fmtid="{D5CDD505-2E9C-101B-9397-08002B2CF9AE}" pid="5" name="KSOTemplateDocerSaveRecord">
    <vt:lpwstr>eyJoZGlkIjoiMzYwYWE2ZGE2OWRmMDA1ZTU4MTc3YjdhOWM1NzIzMTkiLCJ1c2VySWQiOiIxNzgxODczODYxIn0=</vt:lpwstr>
  </property>
</Properties>
</file>